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C" w:rsidRPr="00734347" w:rsidRDefault="002572BC" w:rsidP="00665A5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8DB3E2"/>
        <w:spacing w:line="276" w:lineRule="auto"/>
        <w:ind w:firstLine="360"/>
        <w:rPr>
          <w:rFonts w:ascii="Calibri" w:hAnsi="Calibri" w:cs="Calibri"/>
          <w:sz w:val="28"/>
          <w:szCs w:val="28"/>
          <w:lang w:val="el-GR"/>
        </w:rPr>
      </w:pPr>
      <w:r w:rsidRPr="00665A5D">
        <w:rPr>
          <w:rFonts w:ascii="Calibri" w:hAnsi="Calibri" w:cs="Calibri"/>
          <w:sz w:val="28"/>
          <w:szCs w:val="28"/>
          <w:shd w:val="clear" w:color="auto" w:fill="8DB3E2"/>
          <w:lang w:val="el-GR"/>
        </w:rPr>
        <w:t>ΠΑΡΑΡΤΗΜΑ</w:t>
      </w:r>
      <w:r w:rsidRPr="00734347">
        <w:rPr>
          <w:rFonts w:ascii="Calibri" w:hAnsi="Calibri" w:cs="Calibri"/>
          <w:sz w:val="28"/>
          <w:szCs w:val="28"/>
          <w:lang w:val="el-GR"/>
        </w:rPr>
        <w:t xml:space="preserve"> Ι</w:t>
      </w: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color w:val="auto"/>
          <w:spacing w:val="4"/>
          <w:sz w:val="22"/>
          <w:szCs w:val="22"/>
          <w:lang w:val="el-GR"/>
        </w:rPr>
      </w:pPr>
    </w:p>
    <w:p w:rsidR="002572BC" w:rsidRPr="00552EEB" w:rsidRDefault="002572BC" w:rsidP="003F6AB1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>ΑΝΑΛΥΣΗ ΣΤΟΙΧΕΙΩΝ ΕΓΓΕΓΡΑΜΜΕΝΗΣ</w:t>
      </w:r>
      <w:r w:rsidRPr="00552EEB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2"/>
      </w:r>
      <w:r w:rsidRPr="00552EEB">
        <w:rPr>
          <w:rFonts w:ascii="Calibri" w:hAnsi="Calibri" w:cs="Calibri"/>
          <w:color w:val="auto"/>
          <w:spacing w:val="4"/>
          <w:sz w:val="22"/>
          <w:szCs w:val="22"/>
          <w:lang w:val="el-GR"/>
        </w:rPr>
        <w:t xml:space="preserve"> ΑΝΕΡΓΙΑΣ ΚΑΙ ΣΤΟΙΧΕΙΩΝ ΑΠΟ ΑΛΛΕΣ ΠΗΓΕΣ</w:t>
      </w:r>
    </w:p>
    <w:p w:rsidR="002572BC" w:rsidRPr="00552EEB" w:rsidRDefault="002572BC" w:rsidP="00552EE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 w:rsidRPr="002A47A5">
        <w:rPr>
          <w:rFonts w:ascii="Calibri" w:hAnsi="Calibri" w:cs="Calibri"/>
          <w:i/>
          <w:iCs/>
          <w:color w:val="auto"/>
          <w:lang w:val="el-GR"/>
        </w:rPr>
        <w:t>Σύγκριση μεταξύ</w:t>
      </w:r>
      <w:r w:rsidR="006E256F">
        <w:rPr>
          <w:rFonts w:ascii="Calibri" w:hAnsi="Calibri" w:cs="Calibri"/>
          <w:i/>
          <w:iCs/>
          <w:color w:val="auto"/>
          <w:lang w:val="el-GR"/>
        </w:rPr>
        <w:t xml:space="preserve"> Νοεμ</w:t>
      </w:r>
      <w:r>
        <w:rPr>
          <w:rFonts w:ascii="Calibri" w:hAnsi="Calibri" w:cs="Calibri"/>
          <w:i/>
          <w:iCs/>
          <w:color w:val="auto"/>
          <w:lang w:val="el-GR"/>
        </w:rPr>
        <w:t>βρίου</w:t>
      </w:r>
      <w:r w:rsidRPr="00792D5D">
        <w:rPr>
          <w:rFonts w:ascii="Calibri" w:hAnsi="Calibri" w:cs="Calibri"/>
          <w:i/>
          <w:iCs/>
          <w:color w:val="auto"/>
          <w:lang w:val="el-GR"/>
        </w:rPr>
        <w:t xml:space="preserve"> 2013 και 2014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(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57480F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)</w:t>
      </w:r>
      <w:r w:rsidRPr="00552EEB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(σχετικοί Πίνακες 1-8) </w:t>
      </w:r>
    </w:p>
    <w:p w:rsidR="002572BC" w:rsidRPr="00552EEB" w:rsidRDefault="002572BC" w:rsidP="003F6AB1">
      <w:pPr>
        <w:pStyle w:val="Title"/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</w:rPr>
      </w:pPr>
    </w:p>
    <w:p w:rsidR="002572BC" w:rsidRPr="00F50C17" w:rsidRDefault="002572BC" w:rsidP="00F50C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Γενικά: </w:t>
      </w:r>
      <w:r w:rsidR="007C4253">
        <w:rPr>
          <w:rFonts w:ascii="Calibri" w:hAnsi="Calibri" w:cs="Calibri"/>
          <w:color w:val="auto"/>
          <w:sz w:val="22"/>
          <w:szCs w:val="22"/>
          <w:lang w:val="el-GR"/>
        </w:rPr>
        <w:t>Μείωση</w:t>
      </w:r>
      <w:r w:rsidR="007C4253" w:rsidRPr="00792D5D">
        <w:rPr>
          <w:rFonts w:ascii="Calibri" w:hAnsi="Calibri" w:cs="Calibri"/>
          <w:color w:val="auto"/>
          <w:sz w:val="22"/>
          <w:szCs w:val="22"/>
          <w:lang w:val="el-GR"/>
        </w:rPr>
        <w:t xml:space="preserve"> του αριθμού 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47,603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από 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49,334 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 τον αντίστοιχο μήνα του 2013 (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3,5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1,731</w:t>
      </w:r>
      <w:r w:rsidR="007C4253"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άτομα). </w:t>
      </w:r>
      <w:r w:rsidR="007C425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Επισημαίνεται ότι για έβδομο συνεχόμενο μήνα παρατηρείται μείωση της μηνιαίας εγγεγραμμένης ανεργίας σε σχέση με τους αντίστοιχους μήνες του προηγούμενου έτους. Η πιο πάνω εξέλιξη παρατηρείται για πρώτη φορά από το 2008</w:t>
      </w:r>
      <w:r w:rsidR="007C4253" w:rsidRPr="00176F9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176F9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[βλέπε πίνακα 1].</w:t>
      </w:r>
    </w:p>
    <w:p w:rsidR="002572BC" w:rsidRPr="00552EEB" w:rsidRDefault="002572BC" w:rsidP="00552E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</w:pPr>
      <w:r w:rsidRPr="00552EEB">
        <w:rPr>
          <w:rFonts w:ascii="Calibri" w:hAnsi="Calibri" w:cs="Calibri"/>
          <w:color w:val="auto"/>
          <w:sz w:val="22"/>
          <w:szCs w:val="22"/>
          <w:lang w:val="el-GR"/>
        </w:rPr>
        <w:t>Φύλο:</w:t>
      </w:r>
      <w:r w:rsidR="00DE2A96" w:rsidRPr="00DE2A96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EC6B6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αριθμός των άνεργων αντρών είναι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461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και αντιπροσωπεύει το 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51,4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των εγγεγραμμένων ανέργων, ενώ ο αριθμός των ανέργων γυναικών είναι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142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8777D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378</w:t>
      </w:r>
      <w:r w:rsidR="006F7C5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τομα και 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γυναικών μειώθηκε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F924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F924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F924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353</w:t>
      </w:r>
      <w:r w:rsidRPr="00792D5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[</w:t>
      </w:r>
      <w:r w:rsidRPr="00552EEB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πίνακα 2]</w:t>
      </w: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52EE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(σύνολο και κατά φύλο) τους τελευταίους 12 μήνες.</w:t>
      </w:r>
    </w:p>
    <w:p w:rsidR="002572BC" w:rsidRDefault="002572BC" w:rsidP="00D100FF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D549B7" w:rsidRDefault="00F92480" w:rsidP="00334C6F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914900" cy="2781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2BC" w:rsidRPr="00332D2F" w:rsidRDefault="002572BC" w:rsidP="00332D2F">
      <w:p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A710B3" w:rsidRDefault="00A710B3" w:rsidP="00A710B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στις τρεις από τις πέντε επαρχίες. Αύξηση σημειώθηκε στην Αμμόχωστο (κατά 523 άτομα) και στην Πάφο (κατά 406 άτομα). 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μεγαλύτερη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>μείωση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στην </w:t>
      </w:r>
      <w:r w:rsidRPr="005D6231">
        <w:rPr>
          <w:rFonts w:ascii="Calibri" w:hAnsi="Calibri" w:cs="Calibri"/>
          <w:color w:val="auto"/>
          <w:sz w:val="22"/>
          <w:szCs w:val="22"/>
          <w:lang w:val="el-GR"/>
        </w:rPr>
        <w:t>επαρχί</w:t>
      </w:r>
      <w:r>
        <w:rPr>
          <w:rFonts w:ascii="Calibri" w:hAnsi="Calibri" w:cs="Calibri"/>
          <w:color w:val="auto"/>
          <w:sz w:val="22"/>
          <w:szCs w:val="22"/>
          <w:lang w:val="el-GR"/>
        </w:rPr>
        <w:t>α</w:t>
      </w:r>
      <w:r w:rsidRPr="003309EC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Λευκωσίας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 1,860</w:t>
      </w:r>
      <w:r w:rsidRPr="005D623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ενώ στις επαρχίες  Λεμεσού και Λάρνακας η μείωση ήταν 523 και 277 άτομα αντίστοιχα.</w:t>
      </w:r>
    </w:p>
    <w:p w:rsidR="00F92480" w:rsidRPr="00F869C9" w:rsidRDefault="00F92480" w:rsidP="00332D2F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Default="002572BC" w:rsidP="00C2396C">
      <w:pPr>
        <w:spacing w:after="200"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B33A6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επαρχία τους τελευταίους 12 μήνες [βλέπε πίνακα 3].</w:t>
      </w:r>
    </w:p>
    <w:p w:rsidR="002572BC" w:rsidRPr="00334C6F" w:rsidRDefault="00332D2F" w:rsidP="00334C6F">
      <w:pPr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524374" cy="2874168"/>
            <wp:effectExtent l="0" t="0" r="10160" b="215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2BC" w:rsidRPr="00221312" w:rsidRDefault="002572BC" w:rsidP="00221312">
      <w:pPr>
        <w:spacing w:line="276" w:lineRule="auto"/>
        <w:ind w:right="956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572BC" w:rsidRPr="00FA32A9" w:rsidRDefault="00332D2F" w:rsidP="00FA32A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32D2F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332D2F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32D2F">
        <w:rPr>
          <w:rFonts w:ascii="Calibri" w:hAnsi="Calibri" w:cs="Calibri"/>
          <w:color w:val="auto"/>
          <w:spacing w:val="2"/>
          <w:sz w:val="22"/>
          <w:szCs w:val="22"/>
          <w:lang w:val="el-GR"/>
        </w:rPr>
        <w:softHyphen/>
        <w:t>τητα</w:t>
      </w:r>
      <w:r w:rsidRPr="00332D2F">
        <w:rPr>
          <w:rFonts w:ascii="Calibri" w:hAnsi="Calibri" w:cs="Calibri"/>
          <w:b w:val="0"/>
          <w:bCs w:val="0"/>
          <w:color w:val="auto"/>
          <w:spacing w:val="2"/>
          <w:sz w:val="22"/>
          <w:szCs w:val="22"/>
          <w:lang w:val="el-GR"/>
        </w:rPr>
        <w:t>ς</w:t>
      </w:r>
      <w:r w:rsidRPr="00332D2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2013 παρουσιάστηκαν στον τομέα </w:t>
      </w:r>
      <w:r w:rsidRPr="00332D2F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των κατασκευών (κατά 1,237 άτομα), του εμπορίου (κατά 1,185 άτομα), της εκπαίδευσης (κατά 1,015 άτομα), των τραπεζών (κατά 825 άτομα) και της μεταποίησης (κατά 725 άτομα). </w:t>
      </w:r>
      <w:r w:rsidRPr="00332D2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παρουσιάστηκαν στον τομέα </w:t>
      </w:r>
      <w:r w:rsidRPr="00332D2F">
        <w:rPr>
          <w:rFonts w:ascii="Calibri" w:hAnsi="Calibri" w:cs="Calibri"/>
          <w:b w:val="0"/>
          <w:color w:val="auto"/>
          <w:sz w:val="22"/>
          <w:szCs w:val="22"/>
          <w:lang w:val="el-GR"/>
        </w:rPr>
        <w:t>των ξενοδοχείων (κατά 1,664 άτομα), της δημόσιας διοίκησης (κατά 1,408 άτομα) και των άλλων υπηρεσιών (κατά 284 άτομα).</w:t>
      </w:r>
    </w:p>
    <w:p w:rsidR="002572BC" w:rsidRPr="004A3B28" w:rsidRDefault="002572BC" w:rsidP="00C2396C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 [βλέπε πίνακα 4].</w:t>
      </w:r>
    </w:p>
    <w:p w:rsidR="002572BC" w:rsidRDefault="00FA32A9" w:rsidP="004E55FA">
      <w:pPr>
        <w:spacing w:after="200" w:line="276" w:lineRule="auto"/>
        <w:ind w:left="36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4947314" cy="2988860"/>
            <wp:effectExtent l="0" t="0" r="24765" b="215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416" w:rsidRPr="0080325B" w:rsidRDefault="002572BC" w:rsidP="008032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9755B5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>Διάρκεια εγγραφής</w:t>
      </w: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: 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</w:t>
      </w:r>
      <w:r w:rsidR="0080325B" w:rsidRPr="0077035A">
        <w:rPr>
          <w:rFonts w:ascii="Calibri" w:hAnsi="Calibri" w:cs="Calibri"/>
          <w:color w:val="auto"/>
          <w:sz w:val="22"/>
          <w:szCs w:val="22"/>
          <w:lang w:val="el-GR"/>
        </w:rPr>
        <w:t>από 6 μήνες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έφτασε τα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19,637 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(αύξηση κατά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319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σε σχέση με τον ίδιο μήνα πέρσι) και αντιπροσωπεύει το 4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περισσότερο από 12 μήνες έφτασε τα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12,071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(αύξηση κατά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3,705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44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 και αντιπροσωπεύει το </w:t>
      </w:r>
      <w:r w:rsidR="008032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25</w:t>
      </w:r>
      <w:r w:rsidR="0080325B" w:rsidRPr="00265C5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του συνόλου των εγγεγραμμένων ανέργων. </w:t>
      </w:r>
    </w:p>
    <w:p w:rsidR="002572BC" w:rsidRPr="00A15416" w:rsidRDefault="002572BC" w:rsidP="0080325B">
      <w:pPr>
        <w:pStyle w:val="ListParagraph"/>
        <w:spacing w:after="200" w:line="276" w:lineRule="auto"/>
        <w:jc w:val="both"/>
        <w:rPr>
          <w:rFonts w:ascii="Calibri" w:hAnsi="Calibri" w:cs="Calibri"/>
          <w:sz w:val="16"/>
          <w:szCs w:val="16"/>
          <w:lang w:val="el-GR"/>
        </w:rPr>
      </w:pPr>
      <w:r w:rsidRPr="009755B5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κατά διάρκεια εγγραφής τους τελευταίους 12 μήνες </w:t>
      </w:r>
      <w:r w:rsidRPr="009755B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[βλέπε πίνακα 6].</w:t>
      </w:r>
    </w:p>
    <w:p w:rsidR="002572BC" w:rsidRPr="00F33992" w:rsidRDefault="00A15416" w:rsidP="004E55FA">
      <w:pPr>
        <w:spacing w:after="200" w:line="276" w:lineRule="auto"/>
        <w:ind w:left="360"/>
        <w:jc w:val="center"/>
      </w:pPr>
      <w:r>
        <w:rPr>
          <w:noProof/>
        </w:rPr>
        <w:drawing>
          <wp:inline distT="0" distB="0" distL="0" distR="0">
            <wp:extent cx="5293925" cy="2844800"/>
            <wp:effectExtent l="19050" t="0" r="210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0CCD" w:rsidRPr="001077B2" w:rsidRDefault="00E10CCD" w:rsidP="00E10CC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E10CC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Μικρή αύξηση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της  ανεργίας παρουσιάστηκε μόνο στην </w:t>
      </w:r>
      <w:r w:rsidRPr="00E10CCD">
        <w:rPr>
          <w:rFonts w:ascii="Calibri" w:hAnsi="Calibri" w:cs="Calibri"/>
          <w:color w:val="auto"/>
          <w:sz w:val="22"/>
          <w:szCs w:val="22"/>
          <w:lang w:val="el-GR"/>
        </w:rPr>
        <w:t xml:space="preserve">ηλικιακή ομάδα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άνω των 60 ετών (κατά 88 άτομα)</w:t>
      </w:r>
      <w:r w:rsidR="00801E3F" w:rsidRPr="00801E3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01E3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ενώ </w:t>
      </w:r>
      <w:r w:rsidRPr="00E10C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υπόλοιπες ηλικιακές ομάδες παρουσίασαν μείωση. Στην ηλικιακή ομάδα 15-24 ετών (κατά 661 άτομα), 40-49 ετών (κατά 448 άτομα), στην ηλικιακή ομάδα 25-29 ετών (κατά 396 άτομα), 50-59 ετών (κατά 184 άτομα) και 30-39 ετών (κατά 130 άτομα).  </w:t>
      </w:r>
    </w:p>
    <w:p w:rsidR="001077B2" w:rsidRPr="00E10CCD" w:rsidRDefault="001077B2" w:rsidP="001077B2">
      <w:pPr>
        <w:pStyle w:val="ListParagraph"/>
        <w:spacing w:after="200"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4A3B2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επιλεγμένες ηλικιακές ομάδες τους τελευταίους 12 μήνες [</w:t>
      </w:r>
      <w:r w:rsidRPr="004A3B28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βλέπε πίνακες 7,8].</w:t>
      </w:r>
    </w:p>
    <w:p w:rsidR="0009736B" w:rsidRPr="004A3B28" w:rsidRDefault="001077B2" w:rsidP="004E55FA">
      <w:pPr>
        <w:pStyle w:val="ListParagraph"/>
        <w:spacing w:after="200" w:line="276" w:lineRule="auto"/>
        <w:ind w:left="360"/>
        <w:jc w:val="center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256036" cy="2506133"/>
            <wp:effectExtent l="19050" t="0" r="20814" b="8467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4B00" w:rsidRDefault="002572BC" w:rsidP="007702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7165CA">
        <w:rPr>
          <w:rFonts w:ascii="Calibri" w:hAnsi="Calibri" w:cs="Calibri"/>
          <w:color w:val="auto"/>
          <w:sz w:val="22"/>
          <w:szCs w:val="22"/>
          <w:lang w:val="el-GR"/>
        </w:rPr>
        <w:lastRenderedPageBreak/>
        <w:t xml:space="preserve">Μόρφωση: 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μισοί από τους εγγεγραμμένους άνεργους είναι απόφοιτοι δευτεροβάθμιας γενικής ή τεχνικής εκπαίδευσης  με ποσοστό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51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2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185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άτομα, ακολουθούν οι απόφοιτοι τριτοβάθμιας εκπαίδευσης με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26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315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και οι απόφοιτοι πρωτοβάθμιας εκπαίδευσης με </w:t>
      </w:r>
      <w:r w:rsidR="00E817E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11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0D4B0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103</w:t>
      </w:r>
      <w:r w:rsidRPr="007165C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[βλέπε πίνακα 8].</w:t>
      </w:r>
    </w:p>
    <w:p w:rsidR="000D4B00" w:rsidRDefault="000D4B00" w:rsidP="000D4B00">
      <w:pPr>
        <w:pStyle w:val="ListParagraph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572BC" w:rsidRDefault="002572BC" w:rsidP="000D4B00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7702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2572BC" w:rsidRPr="00770280" w:rsidRDefault="002572BC" w:rsidP="00F33992">
      <w:pPr>
        <w:pStyle w:val="ListParagraph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2572BC" w:rsidRPr="00565C9E" w:rsidRDefault="000D4B00" w:rsidP="00565C9E">
      <w:pPr>
        <w:pStyle w:val="Title"/>
        <w:spacing w:line="276" w:lineRule="auto"/>
        <w:ind w:left="72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5384042" cy="2292823"/>
            <wp:effectExtent l="0" t="0" r="2667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2BC" w:rsidRDefault="002572BC" w:rsidP="00337DED">
      <w:pPr>
        <w:pStyle w:val="Title"/>
        <w:spacing w:line="276" w:lineRule="auto"/>
        <w:ind w:left="72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2572BC" w:rsidRPr="00F84C72" w:rsidRDefault="002572BC" w:rsidP="00F84C7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</w:pPr>
      <w:r w:rsidRPr="00F84C72">
        <w:rPr>
          <w:rFonts w:ascii="Calibri" w:hAnsi="Calibri" w:cs="Calibri"/>
          <w:sz w:val="22"/>
          <w:szCs w:val="22"/>
          <w:lang w:val="el-GR"/>
        </w:rPr>
        <w:t>Εθνοτική καταγωγή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: Οι </w:t>
      </w:r>
      <w:r w:rsidRPr="00F84C72">
        <w:rPr>
          <w:rFonts w:ascii="Calibri" w:hAnsi="Calibri" w:cs="Calibri"/>
          <w:sz w:val="22"/>
          <w:szCs w:val="22"/>
          <w:lang w:val="el-GR"/>
        </w:rPr>
        <w:t xml:space="preserve">Ελληνοκύπριοι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αποτελούν την </w:t>
      </w:r>
      <w:r w:rsidRPr="00F84C72">
        <w:rPr>
          <w:rFonts w:ascii="Calibri" w:hAnsi="Calibri" w:cs="Calibri"/>
          <w:sz w:val="22"/>
          <w:szCs w:val="22"/>
          <w:lang w:val="el-GR"/>
        </w:rPr>
        <w:t>πλειοψηφία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του συνόλου των ανέργων (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77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432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ομα) όπως και πέρσι (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77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ή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3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8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5A0E35">
        <w:rPr>
          <w:rFonts w:ascii="Calibri" w:hAnsi="Calibri" w:cs="Calibri"/>
          <w:b w:val="0"/>
          <w:bCs w:val="0"/>
          <w:sz w:val="22"/>
          <w:szCs w:val="22"/>
          <w:lang w:val="el-GR"/>
        </w:rPr>
        <w:t>0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16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άτομα). Από το σύνολο των ανέργων οι 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904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>1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402394">
        <w:rPr>
          <w:rFonts w:ascii="Calibri" w:hAnsi="Calibri" w:cs="Calibri"/>
          <w:b w:val="0"/>
          <w:bCs w:val="0"/>
          <w:sz w:val="22"/>
          <w:szCs w:val="22"/>
          <w:lang w:val="el-GR"/>
        </w:rPr>
        <w:t>5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%)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είναι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Ευρωπαίοι πολίτες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,</w:t>
      </w:r>
      <w:r w:rsidR="00EE27C9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οι οποίοι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έχουν μειωθεί κατά </w:t>
      </w:r>
      <w:r w:rsidR="00107952">
        <w:rPr>
          <w:rFonts w:ascii="Calibri" w:hAnsi="Calibri" w:cs="Calibri"/>
          <w:b w:val="0"/>
          <w:bCs w:val="0"/>
          <w:sz w:val="22"/>
          <w:szCs w:val="22"/>
          <w:lang w:val="el-GR"/>
        </w:rPr>
        <w:t>425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 ή </w:t>
      </w:r>
      <w:r w:rsidR="00107952">
        <w:rPr>
          <w:rFonts w:ascii="Calibri" w:hAnsi="Calibri" w:cs="Calibri"/>
          <w:b w:val="0"/>
          <w:bCs w:val="0"/>
          <w:sz w:val="22"/>
          <w:szCs w:val="22"/>
          <w:lang w:val="el-GR"/>
        </w:rPr>
        <w:t>6</w:t>
      </w:r>
      <w:r w:rsidR="000808B4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%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σε σύγκριση με τον ίδιο μήνα πέρσι.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>Μ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είωση 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παρατηρήθηκε 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στους Τουρκοκύπριους (κατά </w:t>
      </w:r>
      <w:r w:rsidR="00107952">
        <w:rPr>
          <w:rFonts w:ascii="Calibri" w:hAnsi="Calibri" w:cs="Calibri"/>
          <w:b w:val="0"/>
          <w:bCs w:val="0"/>
          <w:sz w:val="22"/>
          <w:szCs w:val="22"/>
          <w:lang w:val="el-GR"/>
        </w:rPr>
        <w:t>159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</w:t>
      </w:r>
      <w:r w:rsidR="006444C2">
        <w:rPr>
          <w:rFonts w:ascii="Calibri" w:hAnsi="Calibri" w:cs="Calibri"/>
          <w:b w:val="0"/>
          <w:bCs w:val="0"/>
          <w:sz w:val="22"/>
          <w:szCs w:val="22"/>
          <w:lang w:val="el-GR"/>
        </w:rPr>
        <w:t>, ενώ αύξηση παρατηρήθηκε στα άτομα με καθεστώς συμπληρωματικής προστασίας (κατά 1</w:t>
      </w:r>
      <w:r w:rsidR="00107952">
        <w:rPr>
          <w:rFonts w:ascii="Calibri" w:hAnsi="Calibri" w:cs="Calibri"/>
          <w:b w:val="0"/>
          <w:bCs w:val="0"/>
          <w:sz w:val="22"/>
          <w:szCs w:val="22"/>
          <w:lang w:val="el-GR"/>
        </w:rPr>
        <w:t>76</w:t>
      </w:r>
      <w:r w:rsidR="006444C2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άτομα)</w:t>
      </w:r>
      <w:r w:rsidR="006A0193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F84C72">
        <w:rPr>
          <w:rFonts w:ascii="Calibri" w:hAnsi="Calibri" w:cs="Calibri"/>
          <w:b w:val="0"/>
          <w:bCs w:val="0"/>
          <w:spacing w:val="4"/>
          <w:sz w:val="22"/>
          <w:szCs w:val="22"/>
          <w:lang w:val="el-GR"/>
        </w:rPr>
        <w:t>[βλέπε πίνακα 9]</w:t>
      </w: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.</w:t>
      </w:r>
    </w:p>
    <w:p w:rsidR="002572BC" w:rsidRPr="00F50C17" w:rsidRDefault="002572BC" w:rsidP="00A92F0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sz w:val="4"/>
          <w:szCs w:val="4"/>
          <w:lang w:val="el-GR"/>
        </w:rPr>
      </w:pP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 w:rsidRPr="00F84C72">
        <w:rPr>
          <w:rFonts w:ascii="Calibri" w:hAnsi="Calibri" w:cs="Calibri"/>
          <w:b w:val="0"/>
          <w:bCs w:val="0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2572BC" w:rsidRDefault="002572BC" w:rsidP="008F2A3E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2"/>
          <w:lang w:val="el-GR"/>
        </w:rPr>
      </w:pPr>
    </w:p>
    <w:p w:rsidR="002572BC" w:rsidRPr="00565C9E" w:rsidRDefault="00726DDE" w:rsidP="00565C9E">
      <w:pPr>
        <w:pStyle w:val="ListParagraph"/>
        <w:spacing w:line="276" w:lineRule="auto"/>
        <w:jc w:val="center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268036" cy="2606722"/>
            <wp:effectExtent l="19050" t="0" r="27864" b="3128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lastRenderedPageBreak/>
        <w:t>Μηνιαία σ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ύγκριση μεταξύ</w:t>
      </w:r>
      <w:r w:rsidR="002A4C0E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Οκτωβρίου</w:t>
      </w:r>
      <w:r w:rsidR="00037AFD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 xml:space="preserve"> και Νοεμβρίου</w:t>
      </w:r>
      <w:r w:rsidRPr="000B0E61">
        <w:rPr>
          <w:rFonts w:ascii="Calibri" w:hAnsi="Calibri" w:cs="Calibri"/>
          <w:i/>
          <w:iCs/>
          <w:color w:val="auto"/>
          <w:sz w:val="22"/>
          <w:szCs w:val="22"/>
          <w:lang w:val="el-GR"/>
        </w:rPr>
        <w:t>2014:</w:t>
      </w:r>
    </w:p>
    <w:p w:rsidR="002572BC" w:rsidRPr="000D0967" w:rsidRDefault="002572BC" w:rsidP="000D0967">
      <w:pPr>
        <w:rPr>
          <w:rFonts w:ascii="Calibri" w:hAnsi="Calibri" w:cs="Calibri"/>
          <w:i/>
          <w:iCs/>
          <w:color w:val="auto"/>
          <w:sz w:val="22"/>
          <w:szCs w:val="22"/>
          <w:lang w:val="el-GR"/>
        </w:rPr>
      </w:pPr>
    </w:p>
    <w:p w:rsidR="002572BC" w:rsidRPr="000B0E61" w:rsidRDefault="002572BC" w:rsidP="0015378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Κατά τον μήνα </w:t>
      </w:r>
      <w:r w:rsidR="0078278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Νοέμβρι</w:t>
      </w:r>
      <w:r w:rsidR="00626AC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ο</w:t>
      </w:r>
      <w:r w:rsidRPr="000B0E6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2014 ο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παρουσίασε </w:t>
      </w:r>
      <w:r w:rsidR="00782785" w:rsidRPr="0078278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αύξη</w:t>
      </w:r>
      <w:r w:rsidRPr="00782785">
        <w:rPr>
          <w:rFonts w:ascii="Calibri" w:hAnsi="Calibri" w:cs="Calibri"/>
          <w:color w:val="auto"/>
          <w:sz w:val="22"/>
          <w:szCs w:val="22"/>
          <w:lang w:val="el-GR"/>
        </w:rPr>
        <w:t>ση</w:t>
      </w:r>
      <w:r w:rsidR="005E0C1F" w:rsidRPr="005E0C1F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626A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</w:t>
      </w:r>
      <w:r w:rsidR="005E0C1F" w:rsidRPr="005E0C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82785" w:rsidRPr="00782785">
        <w:rPr>
          <w:rFonts w:ascii="Calibri" w:hAnsi="Calibri" w:cs="Calibri"/>
          <w:bCs w:val="0"/>
          <w:color w:val="auto"/>
          <w:sz w:val="22"/>
          <w:szCs w:val="22"/>
          <w:lang w:val="el-GR"/>
        </w:rPr>
        <w:t>6,</w:t>
      </w:r>
      <w:r w:rsidR="00782785" w:rsidRPr="00782785">
        <w:rPr>
          <w:rFonts w:ascii="Calibri" w:hAnsi="Calibri" w:cs="Calibri"/>
          <w:color w:val="auto"/>
          <w:sz w:val="22"/>
          <w:szCs w:val="22"/>
          <w:lang w:val="el-GR"/>
        </w:rPr>
        <w:t>269</w:t>
      </w:r>
      <w:r w:rsidRPr="008353A3">
        <w:rPr>
          <w:rFonts w:ascii="Calibri" w:hAnsi="Calibri" w:cs="Calibri"/>
          <w:color w:val="auto"/>
          <w:sz w:val="22"/>
          <w:szCs w:val="22"/>
          <w:lang w:val="el-GR"/>
        </w:rPr>
        <w:t xml:space="preserve"> άτομα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="00FC5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15</w:t>
      </w:r>
      <w:r w:rsidR="00FC2DF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FC5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2%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σε σύγκριση με τον προηγού</w:t>
      </w:r>
      <w:r w:rsidRPr="000B0E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softHyphen/>
        <w:t xml:space="preserve">μενο μήνα. </w:t>
      </w:r>
    </w:p>
    <w:p w:rsidR="00FC5FC1" w:rsidRPr="00FC5FC1" w:rsidRDefault="00FC5FC1" w:rsidP="00FC5FC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 τομέα </w:t>
      </w:r>
      <w:r w:rsidRPr="00622E89">
        <w:rPr>
          <w:rFonts w:ascii="Calibri" w:hAnsi="Calibri" w:cs="Calibri"/>
          <w:color w:val="auto"/>
          <w:sz w:val="22"/>
          <w:szCs w:val="22"/>
          <w:lang w:val="el-GR"/>
        </w:rPr>
        <w:t>οικονομικής δραστηριότητας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που παρατηρήθηκαν ήταν στον τομέα των ξενοδοχείων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5,129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της δημόσιας διοίκησης (κατά 895 άτομα),των μεταφορών (κατά 427 άτομα) και του εμπορίου (κατά 329 άτομα),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ενώ οι μεγ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αλύτερες μειώσεις παρατηρήθηκαν στον τομέα των νεοεισερχομένων (κατά 527 άτομα),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στον τομέα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των τραπεζών 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(κατά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152</w:t>
      </w:r>
      <w:r w:rsidRPr="00622E8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13A3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στον τομέα των κατασκευών (κατά 99 άτομα)</w:t>
      </w:r>
      <w:r w:rsidR="00513A3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στον τομέα της μεταποίησης (κατά 47 άτομα)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F3346A" w:rsidRPr="000B0E61" w:rsidRDefault="00F3346A" w:rsidP="00F334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Αύξηση της ανεργίας παρουσιάστηκε σε όλες τις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επαρχίες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 εκτός από την Λευκωσία (μείωση κατά 387 άτομα</w:t>
      </w:r>
      <w:r w:rsidRPr="005E0C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)</w:t>
      </w:r>
      <w:r w:rsidRPr="005E0C1F">
        <w:rPr>
          <w:rFonts w:ascii="Calibri" w:hAnsi="Calibri" w:cs="Calibri"/>
          <w:b w:val="0"/>
          <w:color w:val="auto"/>
          <w:sz w:val="22"/>
          <w:szCs w:val="22"/>
          <w:lang w:val="el-GR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Πιο συγκεκριμένα, </w:t>
      </w:r>
      <w:r w:rsidRPr="002503B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επαρχία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Αμμοχώστου κατέγραψε αύξηση  3,435 άτομα, η Πάφος  1,496 άτομα, η Λάρνακα 1,257 άτομα και η Λεμεσός 468 άτομα.</w:t>
      </w:r>
    </w:p>
    <w:p w:rsidR="002572BC" w:rsidRPr="00CC70B4" w:rsidRDefault="002572BC" w:rsidP="00964B29">
      <w:pPr>
        <w:pStyle w:val="ListParagraph"/>
        <w:spacing w:after="200"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F50C17" w:rsidRDefault="002572BC" w:rsidP="00F50C17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  <w:r w:rsidRPr="00F50C17"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  <w:t>ΑΝΑΛΥΣΗ ΣΤΟΙΧΕΙΩΝ ΑΠΟ ΑΛΛΕΣ ΠΗΓΕΣ</w:t>
      </w:r>
    </w:p>
    <w:p w:rsidR="002572BC" w:rsidRPr="00767DB4" w:rsidRDefault="002572BC" w:rsidP="003F6AB1">
      <w:pPr>
        <w:spacing w:line="276" w:lineRule="auto"/>
        <w:jc w:val="both"/>
        <w:rPr>
          <w:rFonts w:ascii="Calibri" w:hAnsi="Calibri" w:cs="Calibri"/>
          <w:color w:val="auto"/>
          <w:spacing w:val="4"/>
          <w:sz w:val="22"/>
          <w:szCs w:val="22"/>
          <w:u w:val="single"/>
          <w:lang w:val="el-GR"/>
        </w:rPr>
      </w:pPr>
    </w:p>
    <w:p w:rsidR="002572BC" w:rsidRPr="00767DB4" w:rsidRDefault="002572BC" w:rsidP="00AB18F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>Μηνιαία Ανεργία Προσαρμοσμένη στις Εποχικές Διακυμάνσεις</w:t>
      </w:r>
      <w:r w:rsidRPr="00767DB4">
        <w:rPr>
          <w:rStyle w:val="FootnoteReference"/>
          <w:rFonts w:ascii="Calibri" w:hAnsi="Calibri" w:cs="Calibri"/>
          <w:color w:val="auto"/>
          <w:spacing w:val="4"/>
          <w:sz w:val="22"/>
          <w:szCs w:val="22"/>
        </w:rPr>
        <w:footnoteReference w:id="3"/>
      </w:r>
      <w:r w:rsidRPr="00767DB4">
        <w:rPr>
          <w:rFonts w:ascii="Calibri" w:hAnsi="Calibri" w:cs="Calibri"/>
          <w:color w:val="auto"/>
          <w:sz w:val="22"/>
          <w:szCs w:val="22"/>
          <w:lang w:val="el-GR"/>
        </w:rPr>
        <w:t xml:space="preserve"> - </w:t>
      </w:r>
      <w:r w:rsidRPr="00767DB4">
        <w:rPr>
          <w:rFonts w:ascii="Calibri" w:hAnsi="Calibri" w:cs="Calibri"/>
          <w:color w:val="auto"/>
          <w:sz w:val="22"/>
          <w:szCs w:val="22"/>
          <w:lang w:val="en-GB"/>
        </w:rPr>
        <w:t>EUROSTAT</w:t>
      </w:r>
      <w:r w:rsidR="005E0C1F" w:rsidRPr="005E0C1F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Pr="00767DB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10)</w:t>
      </w:r>
    </w:p>
    <w:p w:rsidR="002572BC" w:rsidRPr="00767DB4" w:rsidRDefault="002572BC" w:rsidP="00704426">
      <w:pPr>
        <w:pStyle w:val="Title"/>
        <w:tabs>
          <w:tab w:val="left" w:pos="4203"/>
        </w:tabs>
        <w:spacing w:line="276" w:lineRule="auto"/>
        <w:ind w:left="720"/>
        <w:jc w:val="both"/>
        <w:rPr>
          <w:rFonts w:ascii="Calibri" w:hAnsi="Calibri" w:cs="Calibri"/>
          <w:i/>
          <w:iCs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i/>
          <w:iCs/>
          <w:color w:val="auto"/>
          <w:spacing w:val="4"/>
          <w:sz w:val="22"/>
          <w:szCs w:val="22"/>
        </w:rPr>
        <w:tab/>
      </w:r>
    </w:p>
    <w:p w:rsidR="002572BC" w:rsidRPr="00767DB4" w:rsidRDefault="002572BC" w:rsidP="001F5CA1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767DB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μηνιαία στοιχεία τα οποία είναι προσαρμοσμένα σε εποχικές διακυμάνσεις και υπολογίζονται από την Ευρωπαϊκή Στατιστική Υπηρεσία (EUROSTAT), η οποία λαμβάνει επίσης υπόψη τα στοιχεία της ΔΥΑ για την εγγεγραμμένη ανεργία και τα αποτελέσματα της Έρευνας Εργατικού Δυναμικού (ΕΕΔ) της Στατιστικής Υπηρεσίας Κύπρου, εξάγονται τα ακόλουθα: </w:t>
      </w:r>
    </w:p>
    <w:p w:rsidR="002572BC" w:rsidRPr="00CC70B4" w:rsidRDefault="002572BC" w:rsidP="001F5CA1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highlight w:val="yellow"/>
        </w:rPr>
      </w:pPr>
    </w:p>
    <w:p w:rsidR="003A2B7C" w:rsidRDefault="002572BC" w:rsidP="00B213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ατά το μήνα </w:t>
      </w:r>
      <w:r w:rsidR="0011358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Οκτώ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ανήλθε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%. Σε σχέση με τον ίδιο μήνα πέρσι παρουσ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ιάστηκε μείωση κατά 1,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(από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9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σε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15,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AF31D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%).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</w:t>
      </w:r>
      <w:r w:rsidR="00B046A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τον προηγούμενο μήνα, 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Σεπτέμβριο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2014, παρουσιάστηκε 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αύξηση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0,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(από 15,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σε 15,</w:t>
      </w:r>
      <w:r w:rsidR="00DE171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%).</w:t>
      </w:r>
      <w:r w:rsidR="003A2B7C"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Ο </w:t>
      </w:r>
      <w:r w:rsidR="003A2B7C" w:rsidRPr="00C25ED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μέσος όρος ανεργίας στην Ευρώπη των 28</w:t>
      </w:r>
      <w:r w:rsidR="003A2B7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παρουσίασε οριακή μείωση των 0,1  ποσοστιαίων μονάδων (από 10,1% σε 10,0%), ενώ ο μέσος όρος ανεργίας στην Ευρωζώνη δεν σημείωσε καμία μεταβολή (παρέμεινε στο 11,5%) σε σχέση με τον προηγούμενο μήνα.</w:t>
      </w:r>
    </w:p>
    <w:p w:rsidR="00C026D7" w:rsidRPr="00CC70B4" w:rsidRDefault="00C026D7" w:rsidP="00C026D7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026D7" w:rsidRPr="00C026D7" w:rsidRDefault="00C026D7" w:rsidP="00C026D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Η ανεργία των νέων κάτω των 25 ετών παρέμεινε σταθερή στο 34,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8% τους τελευταίους τέσσερις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μήνες (Ιούλιο μέχρι 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Οκτώβρ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ιο 2014), ενώ 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5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,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>6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τον</w:t>
      </w:r>
      <w:r w:rsidR="00417A13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Οκτώβριο</w:t>
      </w:r>
      <w:r w:rsidRPr="002A11A7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2013 . </w:t>
      </w:r>
    </w:p>
    <w:p w:rsidR="002572BC" w:rsidRPr="00CC70B4" w:rsidRDefault="002572BC" w:rsidP="00E62B24">
      <w:pPr>
        <w:pStyle w:val="ListParagraph"/>
        <w:spacing w:line="276" w:lineRule="auto"/>
        <w:ind w:left="81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3E7B5B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</w:t>
      </w:r>
      <w:r w:rsidRPr="002D1A8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Οκτώβ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ριο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16,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σημειώνοντας αύξη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ση 0,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ποσοστιαίων μονάδων 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σε σχέση με τον προηγούμενο μήνα, ενώ σε σχέση με τον ίδιο μήνα του προηγούμενου έτους παρουσίασε μείωση κατά </w:t>
      </w:r>
      <w:r w:rsidR="00E94F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</w:t>
      </w:r>
      <w:r w:rsidR="00BD19F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μονάδες. </w:t>
      </w:r>
    </w:p>
    <w:p w:rsidR="002572BC" w:rsidRPr="0059569F" w:rsidRDefault="002572BC" w:rsidP="003E7B5B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Default="002572BC" w:rsidP="003E7B5B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Το ποσοστό ανεργίας των</w:t>
      </w:r>
      <w:r w:rsidRPr="003E7B5B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Οκτώβριο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2014 υπολογίζεται στο1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%, 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παραμένοντας στα ίδια επίπεδα </w:t>
      </w:r>
      <w:r w:rsidR="00A44FCD"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σε σχέση με τον προηγούμενο μήνα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ενώ σε σχέση με τον ίδιο μήνα του προηγούμενου έτους παρουσίασε μείωση κατά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1,</w:t>
      </w:r>
      <w:r w:rsidR="00A44FC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3E7B5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μονάδες. </w:t>
      </w:r>
    </w:p>
    <w:p w:rsidR="002572BC" w:rsidRPr="0059569F" w:rsidRDefault="002572BC" w:rsidP="00BB2166">
      <w:pPr>
        <w:pStyle w:val="ListParagrap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7C3020" w:rsidRDefault="002572BC" w:rsidP="00BB2166">
      <w:pPr>
        <w:pStyle w:val="ListParagraph"/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2572BC" w:rsidRPr="00974983" w:rsidRDefault="002572BC" w:rsidP="001B6F3B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</w:pP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Απασχόληση και Ανεργία με βάση την Έρευνα Εργατικού Δυναμικού –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Δεύτερο </w:t>
      </w:r>
      <w:r w:rsidRPr="00974983">
        <w:rPr>
          <w:rFonts w:ascii="Calibri" w:hAnsi="Calibri" w:cs="Calibri"/>
          <w:color w:val="auto"/>
          <w:sz w:val="22"/>
          <w:szCs w:val="22"/>
          <w:lang w:val="el-GR"/>
        </w:rPr>
        <w:t>τρίμηνο του 201</w:t>
      </w:r>
      <w:r>
        <w:rPr>
          <w:rFonts w:ascii="Calibri" w:hAnsi="Calibri" w:cs="Calibri"/>
          <w:color w:val="auto"/>
          <w:sz w:val="22"/>
          <w:szCs w:val="22"/>
          <w:lang w:val="el-GR"/>
        </w:rPr>
        <w:t>4</w:t>
      </w:r>
      <w:r w:rsidRPr="00974983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(βλέπε πίνακα 11)</w:t>
      </w:r>
    </w:p>
    <w:p w:rsidR="002572BC" w:rsidRPr="007C3020" w:rsidRDefault="002572BC" w:rsidP="001B6F3B">
      <w:pPr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  <w:lang w:val="el-GR"/>
        </w:rPr>
      </w:pPr>
    </w:p>
    <w:p w:rsidR="002572BC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Με βάση τα αποτελέσματα της Έρευνας Εργατικού Δυναμικού, που διενεργείται από τη Στατιστική Υπηρεσία σύμφωνα με Ευρωπαϊκό Κανονισμό, το </w:t>
      </w:r>
      <w:r w:rsidRPr="003B7B7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απασχόλησης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(20-64 ετών) κατά το 2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ο 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ήταν 6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7,8%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1,6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προηγούμενο τρίμηνο, και αυξημένο κατά 0,5 ποσοστιαίες μονάδες σε σύγκριση με το αντίστοιχο τρίμηνο του προηγούμενου έτους. Σε σχέση με τον μέσο όρο του 2013 (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67,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απασχόλησης είναι αυξη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μένο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0,6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</w:p>
    <w:p w:rsidR="002572BC" w:rsidRPr="00974983" w:rsidRDefault="002572BC" w:rsidP="0037333D">
      <w:pPr>
        <w:pStyle w:val="Title"/>
        <w:spacing w:line="276" w:lineRule="auto"/>
        <w:ind w:left="360"/>
        <w:jc w:val="both"/>
        <w:rPr>
          <w:color w:val="auto"/>
          <w:spacing w:val="4"/>
        </w:rPr>
      </w:pPr>
    </w:p>
    <w:p w:rsidR="002572BC" w:rsidRDefault="002572BC" w:rsidP="003A50C6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στις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ηλικίες 15+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ανήλθε στο 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5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%,  παρουσιάζοντας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μείωση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1,5ποσοστιαίες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από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τρίμηνο. Σε σχέση με το αντίστοιχο τρίμηνο του προηγούμενου έτους δεν </w:t>
      </w:r>
      <w:r w:rsidR="005A0565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υπήρξε διαφοροποίηση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(15,4%)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Σε σχέση με τον μέσο όρο του 2013 (15,9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μειώθηκε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0,5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color w:val="auto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</w:t>
      </w:r>
      <w:r w:rsidRPr="00CB0A9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u w:val="single"/>
        </w:rPr>
        <w:t>ποσοστό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των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νέων 15-24 ετών</w:t>
      </w:r>
      <w:r w:rsidR="000B139B" w:rsidRPr="000B139B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ήταν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τρίμηνο του 201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4,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7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%, σημειώνοντας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2,4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 και μείωση 3,1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Σε σχέση με τον μέσο όρο του 2013 (38,9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νέων μειώθηκε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1,7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Σημειώνεται ότι η ανεργία μεταξύ των νέων 15-24, ως ποσοστό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κατά αναλογία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του πληθυσμού της ίδιας ηλικιακής ομάδας ήταν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14,7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%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2</w:t>
      </w:r>
      <w:r w:rsidRPr="00267801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, παρουσιάζοντας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μείω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ση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1,2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σε σύγκριση με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το 1</w:t>
      </w:r>
      <w:r w:rsidRPr="00917D70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. </w:t>
      </w:r>
    </w:p>
    <w:p w:rsidR="002572BC" w:rsidRPr="00CC70B4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</w:rPr>
      </w:pP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Το μερίδιο των ατόμων με </w:t>
      </w:r>
      <w:r w:rsidRPr="00CB0A9C">
        <w:rPr>
          <w:rFonts w:ascii="Calibri" w:hAnsi="Calibri" w:cs="Calibri"/>
          <w:bCs w:val="0"/>
          <w:color w:val="auto"/>
          <w:spacing w:val="4"/>
          <w:sz w:val="22"/>
          <w:szCs w:val="22"/>
        </w:rPr>
        <w:t>διάρκεια ανεργίας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πάνω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από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6 μ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ήνες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στο σύνολο των ανέργων ανερχόταν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κατά το 2</w:t>
      </w:r>
      <w:r w:rsidRPr="00E953B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vertAlign w:val="superscript"/>
        </w:rPr>
        <w:t>ο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τρίμηνο του 2014 στο 70,7%, αυξημένο κατά 5,2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ποσοστιαίες μονάδες σε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προηγούμενο τρίμηνο και αυξημένο κατά 10,4 ποσοστιαίες μονάδες σε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σύγκριση με το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αντίστοιχο τρίμηνο του προηγούμενου έτους.  Συγκρινόμενο με τον μέσο όρο του 2013 (60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%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)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το ποσοστό ανεργίας των ατόμων </w:t>
      </w:r>
      <w:r w:rsidRPr="006D3AD9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με διάρκεια ανεργίας πάνω των 6 μηνών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αυξήθηκε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κατά 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10,7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ποσοστιαί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>ες</w:t>
      </w:r>
      <w:r w:rsidRPr="00974983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 μονάδ</w:t>
      </w:r>
      <w: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  <w:t xml:space="preserve">ες το δεύτερο τρίμηνο του 2014. </w:t>
      </w:r>
    </w:p>
    <w:p w:rsidR="002572BC" w:rsidRPr="006D3AD9" w:rsidRDefault="002572BC" w:rsidP="0037333D">
      <w:pPr>
        <w:pStyle w:val="Title"/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2572BC" w:rsidRPr="006D3AD9" w:rsidRDefault="000B139B" w:rsidP="00917D70">
      <w:pPr>
        <w:pStyle w:val="Title"/>
        <w:spacing w:line="276" w:lineRule="auto"/>
        <w:ind w:firstLine="360"/>
        <w:jc w:val="both"/>
        <w:rPr>
          <w:rFonts w:ascii="Calibri" w:hAnsi="Calibri" w:cs="Calibri"/>
          <w:color w:val="auto"/>
          <w:spacing w:val="4"/>
          <w:sz w:val="22"/>
          <w:szCs w:val="22"/>
        </w:rPr>
      </w:pPr>
      <w:r w:rsidRPr="004B2332">
        <w:rPr>
          <w:rFonts w:ascii="Calibri" w:hAnsi="Calibri" w:cs="Calibri"/>
          <w:color w:val="auto"/>
          <w:spacing w:val="4"/>
          <w:sz w:val="22"/>
          <w:szCs w:val="22"/>
        </w:rPr>
        <w:t>9</w:t>
      </w:r>
      <w:r w:rsidR="00A44FCD" w:rsidRPr="004B2332">
        <w:rPr>
          <w:rFonts w:ascii="Calibri" w:hAnsi="Calibri" w:cs="Calibri"/>
          <w:color w:val="auto"/>
          <w:spacing w:val="4"/>
          <w:sz w:val="22"/>
          <w:szCs w:val="22"/>
        </w:rPr>
        <w:t xml:space="preserve"> Δεκε</w:t>
      </w:r>
      <w:r w:rsidR="00597D1A" w:rsidRPr="004B2332">
        <w:rPr>
          <w:rFonts w:ascii="Calibri" w:hAnsi="Calibri" w:cs="Calibri"/>
          <w:color w:val="auto"/>
          <w:spacing w:val="4"/>
          <w:sz w:val="22"/>
          <w:szCs w:val="22"/>
        </w:rPr>
        <w:t xml:space="preserve">μβρίου </w:t>
      </w:r>
      <w:r w:rsidR="002572BC" w:rsidRPr="004B2332">
        <w:rPr>
          <w:rFonts w:ascii="Calibri" w:hAnsi="Calibri" w:cs="Calibri"/>
          <w:color w:val="auto"/>
          <w:spacing w:val="4"/>
          <w:sz w:val="22"/>
          <w:szCs w:val="22"/>
        </w:rPr>
        <w:t>2014</w:t>
      </w:r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A44FCD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>
        <w:rPr>
          <w:rFonts w:ascii="Calibri" w:hAnsi="Calibri" w:cs="Calibri"/>
          <w:color w:val="auto"/>
          <w:spacing w:val="4"/>
          <w:sz w:val="22"/>
          <w:szCs w:val="22"/>
        </w:rPr>
        <w:tab/>
      </w:r>
      <w:r w:rsidR="002572BC" w:rsidRPr="006D3AD9">
        <w:rPr>
          <w:rFonts w:ascii="Calibri" w:hAnsi="Calibri" w:cs="Calibri"/>
          <w:color w:val="auto"/>
          <w:spacing w:val="4"/>
          <w:sz w:val="22"/>
          <w:szCs w:val="22"/>
        </w:rPr>
        <w:t>Παρατηρητήριο Αγοράς Εργασίας</w:t>
      </w:r>
    </w:p>
    <w:p w:rsidR="002572BC" w:rsidRPr="006E256F" w:rsidRDefault="002572BC" w:rsidP="00687003">
      <w:pPr>
        <w:pStyle w:val="Title"/>
        <w:spacing w:line="276" w:lineRule="auto"/>
        <w:ind w:left="6840" w:firstLine="360"/>
        <w:rPr>
          <w:rFonts w:ascii="Calibri" w:hAnsi="Calibri" w:cs="Calibri"/>
          <w:color w:val="auto"/>
          <w:spacing w:val="4"/>
          <w:sz w:val="22"/>
          <w:szCs w:val="22"/>
        </w:rPr>
      </w:pP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Τμήμα</w:t>
      </w:r>
      <w:r w:rsidR="000B139B" w:rsidRPr="00415EFE">
        <w:rPr>
          <w:rFonts w:ascii="Calibri" w:hAnsi="Calibri" w:cs="Calibri"/>
          <w:color w:val="auto"/>
          <w:spacing w:val="4"/>
          <w:sz w:val="22"/>
          <w:szCs w:val="22"/>
        </w:rPr>
        <w:t xml:space="preserve"> </w:t>
      </w:r>
      <w:r w:rsidRPr="006D3AD9">
        <w:rPr>
          <w:rFonts w:ascii="Calibri" w:hAnsi="Calibri" w:cs="Calibri"/>
          <w:color w:val="auto"/>
          <w:spacing w:val="4"/>
          <w:sz w:val="22"/>
          <w:szCs w:val="22"/>
        </w:rPr>
        <w:t>Εργασίας</w:t>
      </w:r>
    </w:p>
    <w:p w:rsidR="007C3020" w:rsidRDefault="007C3020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C70B4" w:rsidRDefault="00CC70B4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CB0A9C" w:rsidRPr="004B2332" w:rsidRDefault="00CB0A9C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2572BC" w:rsidRPr="00415EFE" w:rsidRDefault="002572BC" w:rsidP="00ED7450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CC70B4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r w:rsidRPr="00415EFE">
        <w:rPr>
          <w:rFonts w:ascii="Calibri" w:hAnsi="Calibri" w:cs="Calibri"/>
          <w:b w:val="0"/>
          <w:bCs w:val="0"/>
          <w:color w:val="auto"/>
          <w:sz w:val="18"/>
          <w:szCs w:val="18"/>
        </w:rPr>
        <w:t>,</w:t>
      </w:r>
      <w:fldSimple w:instr=" FILENAME  \p  \* MERGEFORMAT "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C:\Documents and Settings\MOF\My Documents\M Rigou\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Ανεργία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- 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Μηνιαίες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Εκθέσεις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>\2014 registered unemployed-monthly reports\November 2014\Reports\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Παράρτημα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</w:t>
        </w:r>
        <w:r w:rsid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  <w:lang w:val="el-GR"/>
          </w:rPr>
          <w:t>Ι</w:t>
        </w:r>
        <w:r w:rsidR="00415EFE" w:rsidRPr="00415EFE">
          <w:rPr>
            <w:rFonts w:ascii="Calibri" w:hAnsi="Calibri" w:cs="Calibri"/>
            <w:b w:val="0"/>
            <w:bCs w:val="0"/>
            <w:noProof/>
            <w:color w:val="auto"/>
            <w:sz w:val="18"/>
            <w:szCs w:val="18"/>
          </w:rPr>
          <w:t xml:space="preserve"> report.docx</w:t>
        </w:r>
      </w:fldSimple>
      <w:r w:rsidRPr="00415EFE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</w:p>
    <w:sectPr w:rsidR="002572BC" w:rsidRPr="00415EFE" w:rsidSect="002B08DA">
      <w:footerReference w:type="default" r:id="rId14"/>
      <w:pgSz w:w="11907" w:h="16839" w:code="9"/>
      <w:pgMar w:top="1440" w:right="1559" w:bottom="1440" w:left="1080" w:header="706" w:footer="401" w:gutter="23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45" w:rsidRDefault="00533545">
      <w:r>
        <w:separator/>
      </w:r>
    </w:p>
  </w:endnote>
  <w:endnote w:type="continuationSeparator" w:id="1">
    <w:p w:rsidR="00533545" w:rsidRDefault="0053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BC" w:rsidRPr="00D86598" w:rsidRDefault="005D170F">
    <w:pPr>
      <w:pStyle w:val="Footer"/>
      <w:jc w:val="right"/>
      <w:rPr>
        <w:sz w:val="20"/>
        <w:szCs w:val="20"/>
      </w:rPr>
    </w:pPr>
    <w:r w:rsidRPr="00D86598">
      <w:rPr>
        <w:sz w:val="20"/>
        <w:szCs w:val="20"/>
      </w:rPr>
      <w:fldChar w:fldCharType="begin"/>
    </w:r>
    <w:r w:rsidR="002572BC" w:rsidRPr="00D86598">
      <w:rPr>
        <w:sz w:val="20"/>
        <w:szCs w:val="20"/>
      </w:rPr>
      <w:instrText xml:space="preserve"> PAGE   \* MERGEFORMAT </w:instrText>
    </w:r>
    <w:r w:rsidRPr="00D86598">
      <w:rPr>
        <w:sz w:val="20"/>
        <w:szCs w:val="20"/>
      </w:rPr>
      <w:fldChar w:fldCharType="separate"/>
    </w:r>
    <w:r w:rsidR="00A710B3">
      <w:rPr>
        <w:noProof/>
        <w:sz w:val="20"/>
        <w:szCs w:val="20"/>
      </w:rPr>
      <w:t>1</w:t>
    </w:r>
    <w:r w:rsidRPr="00D86598">
      <w:rPr>
        <w:sz w:val="20"/>
        <w:szCs w:val="20"/>
      </w:rPr>
      <w:fldChar w:fldCharType="end"/>
    </w:r>
  </w:p>
  <w:p w:rsidR="002572BC" w:rsidRDefault="002572BC" w:rsidP="00E1739D">
    <w:pPr>
      <w:pStyle w:val="Footer"/>
      <w:ind w:right="360"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45" w:rsidRDefault="00533545">
      <w:r>
        <w:separator/>
      </w:r>
    </w:p>
  </w:footnote>
  <w:footnote w:type="continuationSeparator" w:id="1">
    <w:p w:rsidR="00533545" w:rsidRDefault="00533545">
      <w:r>
        <w:continuationSeparator/>
      </w:r>
    </w:p>
  </w:footnote>
  <w:footnote w:id="2">
    <w:p w:rsidR="002572BC" w:rsidRPr="00DE7394" w:rsidRDefault="002572BC" w:rsidP="003F6AB1">
      <w:pPr>
        <w:pStyle w:val="FootnoteText"/>
        <w:spacing w:before="80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Η εγγεγραμμένη ανεργία αφορά μόνο τους ανέργους που εγγράφονται στα κατά τόπους Γραφεία Εργασίας και ως εκ τούτου δεν είναι αντιπροσωπευτική της συνολικής ανεργίας. </w:t>
      </w:r>
    </w:p>
  </w:footnote>
  <w:footnote w:id="3">
    <w:p w:rsidR="002572BC" w:rsidRPr="00DE7394" w:rsidRDefault="002572BC" w:rsidP="003F6AB1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Τα στοιχεία της </w:t>
      </w:r>
      <w:r>
        <w:t>EUROSTAT</w:t>
      </w:r>
      <w:r>
        <w:rPr>
          <w:lang w:val="el-GR"/>
        </w:rPr>
        <w:t xml:space="preserve"> είναι 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>προκαταρκτικά</w:t>
      </w:r>
      <w:r>
        <w:rPr>
          <w:rFonts w:ascii="Calibri" w:hAnsi="Calibri" w:cs="Calibri"/>
          <w:color w:val="auto"/>
          <w:sz w:val="22"/>
          <w:szCs w:val="22"/>
          <w:lang w:val="el-GR"/>
        </w:rPr>
        <w:t>,</w:t>
      </w:r>
      <w:r w:rsidRPr="00AF31D1">
        <w:rPr>
          <w:rFonts w:ascii="Calibri" w:hAnsi="Calibri" w:cs="Calibri"/>
          <w:color w:val="auto"/>
          <w:sz w:val="22"/>
          <w:szCs w:val="22"/>
          <w:lang w:val="el-GR"/>
        </w:rPr>
        <w:t xml:space="preserve"> αποτελούν πρόβλεψη</w:t>
      </w:r>
      <w:r>
        <w:rPr>
          <w:rFonts w:ascii="Calibri" w:hAnsi="Calibri" w:cs="Calibri"/>
          <w:color w:val="auto"/>
          <w:sz w:val="22"/>
          <w:szCs w:val="22"/>
          <w:lang w:val="el-GR"/>
        </w:rPr>
        <w:t xml:space="preserve"> και είναι</w:t>
      </w:r>
      <w:r>
        <w:rPr>
          <w:lang w:val="el-GR"/>
        </w:rPr>
        <w:t xml:space="preserve"> διαθέσιμα με ένα μήνα καθυστέρηση.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D102A0"/>
    <w:multiLevelType w:val="hybridMultilevel"/>
    <w:tmpl w:val="B270020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E4F1A07"/>
    <w:multiLevelType w:val="hybridMultilevel"/>
    <w:tmpl w:val="BE4A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8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14C3D1C"/>
    <w:multiLevelType w:val="hybridMultilevel"/>
    <w:tmpl w:val="243213C6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CD424DA"/>
    <w:multiLevelType w:val="hybridMultilevel"/>
    <w:tmpl w:val="5D944C02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0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0"/>
  </w:num>
  <w:num w:numId="5">
    <w:abstractNumId w:val="0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26"/>
  </w:num>
  <w:num w:numId="14">
    <w:abstractNumId w:val="30"/>
  </w:num>
  <w:num w:numId="15">
    <w:abstractNumId w:val="23"/>
  </w:num>
  <w:num w:numId="16">
    <w:abstractNumId w:val="24"/>
  </w:num>
  <w:num w:numId="17">
    <w:abstractNumId w:val="21"/>
  </w:num>
  <w:num w:numId="18">
    <w:abstractNumId w:val="14"/>
  </w:num>
  <w:num w:numId="19">
    <w:abstractNumId w:val="4"/>
  </w:num>
  <w:num w:numId="20">
    <w:abstractNumId w:val="11"/>
  </w:num>
  <w:num w:numId="21">
    <w:abstractNumId w:val="5"/>
  </w:num>
  <w:num w:numId="22">
    <w:abstractNumId w:val="1"/>
  </w:num>
  <w:num w:numId="23">
    <w:abstractNumId w:val="18"/>
  </w:num>
  <w:num w:numId="24">
    <w:abstractNumId w:val="9"/>
  </w:num>
  <w:num w:numId="25">
    <w:abstractNumId w:val="28"/>
  </w:num>
  <w:num w:numId="26">
    <w:abstractNumId w:val="3"/>
  </w:num>
  <w:num w:numId="27">
    <w:abstractNumId w:val="29"/>
  </w:num>
  <w:num w:numId="28">
    <w:abstractNumId w:val="17"/>
  </w:num>
  <w:num w:numId="29">
    <w:abstractNumId w:val="25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564"/>
    <w:rsid w:val="000002D8"/>
    <w:rsid w:val="000005C8"/>
    <w:rsid w:val="00000A51"/>
    <w:rsid w:val="00001AFF"/>
    <w:rsid w:val="00002B46"/>
    <w:rsid w:val="0000322F"/>
    <w:rsid w:val="000037F3"/>
    <w:rsid w:val="0000387B"/>
    <w:rsid w:val="000056E2"/>
    <w:rsid w:val="00005BCF"/>
    <w:rsid w:val="000062B7"/>
    <w:rsid w:val="000064B5"/>
    <w:rsid w:val="00006BCD"/>
    <w:rsid w:val="000071D9"/>
    <w:rsid w:val="00007776"/>
    <w:rsid w:val="000107F7"/>
    <w:rsid w:val="0001206A"/>
    <w:rsid w:val="00012FCE"/>
    <w:rsid w:val="000130E8"/>
    <w:rsid w:val="0001395E"/>
    <w:rsid w:val="00013E64"/>
    <w:rsid w:val="000143F8"/>
    <w:rsid w:val="00015215"/>
    <w:rsid w:val="000153DC"/>
    <w:rsid w:val="00015698"/>
    <w:rsid w:val="0001621A"/>
    <w:rsid w:val="000164C0"/>
    <w:rsid w:val="000168FD"/>
    <w:rsid w:val="000173AE"/>
    <w:rsid w:val="0001751A"/>
    <w:rsid w:val="00020227"/>
    <w:rsid w:val="000203D1"/>
    <w:rsid w:val="00020505"/>
    <w:rsid w:val="000205AE"/>
    <w:rsid w:val="000218C2"/>
    <w:rsid w:val="00021C0C"/>
    <w:rsid w:val="00022911"/>
    <w:rsid w:val="000238A7"/>
    <w:rsid w:val="00023A58"/>
    <w:rsid w:val="00024297"/>
    <w:rsid w:val="00024BEE"/>
    <w:rsid w:val="00024FDB"/>
    <w:rsid w:val="00025C09"/>
    <w:rsid w:val="00025C9F"/>
    <w:rsid w:val="00026774"/>
    <w:rsid w:val="00027651"/>
    <w:rsid w:val="00030A73"/>
    <w:rsid w:val="00030C63"/>
    <w:rsid w:val="00030F6E"/>
    <w:rsid w:val="00031900"/>
    <w:rsid w:val="00033271"/>
    <w:rsid w:val="00033B05"/>
    <w:rsid w:val="0003432D"/>
    <w:rsid w:val="00034711"/>
    <w:rsid w:val="00034826"/>
    <w:rsid w:val="00034C70"/>
    <w:rsid w:val="00035661"/>
    <w:rsid w:val="00036659"/>
    <w:rsid w:val="00037076"/>
    <w:rsid w:val="00037AFD"/>
    <w:rsid w:val="00037B02"/>
    <w:rsid w:val="00037B69"/>
    <w:rsid w:val="00040382"/>
    <w:rsid w:val="00040819"/>
    <w:rsid w:val="00040C24"/>
    <w:rsid w:val="00042624"/>
    <w:rsid w:val="00042734"/>
    <w:rsid w:val="000428F4"/>
    <w:rsid w:val="00043BC2"/>
    <w:rsid w:val="00043E74"/>
    <w:rsid w:val="00045B48"/>
    <w:rsid w:val="000465C0"/>
    <w:rsid w:val="000467D9"/>
    <w:rsid w:val="00046B33"/>
    <w:rsid w:val="00047258"/>
    <w:rsid w:val="000476AA"/>
    <w:rsid w:val="000477A2"/>
    <w:rsid w:val="00050179"/>
    <w:rsid w:val="00050785"/>
    <w:rsid w:val="00051E9D"/>
    <w:rsid w:val="00054252"/>
    <w:rsid w:val="0005513D"/>
    <w:rsid w:val="0005582E"/>
    <w:rsid w:val="00055BB7"/>
    <w:rsid w:val="0005612F"/>
    <w:rsid w:val="000574CE"/>
    <w:rsid w:val="000578CE"/>
    <w:rsid w:val="000603FD"/>
    <w:rsid w:val="00061E5D"/>
    <w:rsid w:val="000629AF"/>
    <w:rsid w:val="00062D35"/>
    <w:rsid w:val="00062DAE"/>
    <w:rsid w:val="0006392C"/>
    <w:rsid w:val="00063AA3"/>
    <w:rsid w:val="000651A0"/>
    <w:rsid w:val="00065A8D"/>
    <w:rsid w:val="00065D44"/>
    <w:rsid w:val="000666EB"/>
    <w:rsid w:val="00066E25"/>
    <w:rsid w:val="000679E4"/>
    <w:rsid w:val="00067B12"/>
    <w:rsid w:val="00070D1F"/>
    <w:rsid w:val="000719C5"/>
    <w:rsid w:val="00071D2E"/>
    <w:rsid w:val="00072614"/>
    <w:rsid w:val="00072638"/>
    <w:rsid w:val="000745AB"/>
    <w:rsid w:val="00074D17"/>
    <w:rsid w:val="000774CB"/>
    <w:rsid w:val="0007755D"/>
    <w:rsid w:val="000777D8"/>
    <w:rsid w:val="00077A8E"/>
    <w:rsid w:val="00080002"/>
    <w:rsid w:val="000808B4"/>
    <w:rsid w:val="00080AEF"/>
    <w:rsid w:val="0008120B"/>
    <w:rsid w:val="0008153D"/>
    <w:rsid w:val="000826BC"/>
    <w:rsid w:val="0008290B"/>
    <w:rsid w:val="00082AF4"/>
    <w:rsid w:val="00082EEA"/>
    <w:rsid w:val="00083079"/>
    <w:rsid w:val="00083252"/>
    <w:rsid w:val="00084745"/>
    <w:rsid w:val="00084790"/>
    <w:rsid w:val="0008485C"/>
    <w:rsid w:val="00084F89"/>
    <w:rsid w:val="00085DAD"/>
    <w:rsid w:val="00087DA7"/>
    <w:rsid w:val="0009228E"/>
    <w:rsid w:val="000923B3"/>
    <w:rsid w:val="00092F6F"/>
    <w:rsid w:val="000938CC"/>
    <w:rsid w:val="00093C1F"/>
    <w:rsid w:val="000953A7"/>
    <w:rsid w:val="00096423"/>
    <w:rsid w:val="000966C8"/>
    <w:rsid w:val="00096956"/>
    <w:rsid w:val="0009736B"/>
    <w:rsid w:val="00097859"/>
    <w:rsid w:val="000A05B4"/>
    <w:rsid w:val="000A0781"/>
    <w:rsid w:val="000A1651"/>
    <w:rsid w:val="000A2094"/>
    <w:rsid w:val="000A291E"/>
    <w:rsid w:val="000A2D09"/>
    <w:rsid w:val="000A2E8B"/>
    <w:rsid w:val="000A4931"/>
    <w:rsid w:val="000A4D04"/>
    <w:rsid w:val="000A5A65"/>
    <w:rsid w:val="000A6573"/>
    <w:rsid w:val="000A7B48"/>
    <w:rsid w:val="000A7C4C"/>
    <w:rsid w:val="000B0889"/>
    <w:rsid w:val="000B0E61"/>
    <w:rsid w:val="000B0E81"/>
    <w:rsid w:val="000B139B"/>
    <w:rsid w:val="000B1863"/>
    <w:rsid w:val="000B1FDB"/>
    <w:rsid w:val="000B2086"/>
    <w:rsid w:val="000B20E8"/>
    <w:rsid w:val="000B2917"/>
    <w:rsid w:val="000B37C1"/>
    <w:rsid w:val="000B404F"/>
    <w:rsid w:val="000B4BAA"/>
    <w:rsid w:val="000B5586"/>
    <w:rsid w:val="000B668A"/>
    <w:rsid w:val="000C043C"/>
    <w:rsid w:val="000C0F49"/>
    <w:rsid w:val="000C10C1"/>
    <w:rsid w:val="000C2635"/>
    <w:rsid w:val="000C2825"/>
    <w:rsid w:val="000C2A94"/>
    <w:rsid w:val="000C33B6"/>
    <w:rsid w:val="000C3535"/>
    <w:rsid w:val="000C5052"/>
    <w:rsid w:val="000C5910"/>
    <w:rsid w:val="000C5AAD"/>
    <w:rsid w:val="000C6D84"/>
    <w:rsid w:val="000C7289"/>
    <w:rsid w:val="000D0688"/>
    <w:rsid w:val="000D06F8"/>
    <w:rsid w:val="000D0967"/>
    <w:rsid w:val="000D0F80"/>
    <w:rsid w:val="000D1208"/>
    <w:rsid w:val="000D20A5"/>
    <w:rsid w:val="000D2B22"/>
    <w:rsid w:val="000D3183"/>
    <w:rsid w:val="000D3C86"/>
    <w:rsid w:val="000D3D6E"/>
    <w:rsid w:val="000D4B00"/>
    <w:rsid w:val="000D52F4"/>
    <w:rsid w:val="000D5305"/>
    <w:rsid w:val="000D583B"/>
    <w:rsid w:val="000D5D3C"/>
    <w:rsid w:val="000D5D46"/>
    <w:rsid w:val="000D633B"/>
    <w:rsid w:val="000D673E"/>
    <w:rsid w:val="000E2651"/>
    <w:rsid w:val="000E2916"/>
    <w:rsid w:val="000E33AA"/>
    <w:rsid w:val="000E412C"/>
    <w:rsid w:val="000E512C"/>
    <w:rsid w:val="000E5550"/>
    <w:rsid w:val="000E57D4"/>
    <w:rsid w:val="000E7DAE"/>
    <w:rsid w:val="000E7E00"/>
    <w:rsid w:val="000F045F"/>
    <w:rsid w:val="000F0659"/>
    <w:rsid w:val="000F0BD3"/>
    <w:rsid w:val="000F0DD9"/>
    <w:rsid w:val="000F1077"/>
    <w:rsid w:val="000F14A3"/>
    <w:rsid w:val="000F3F9F"/>
    <w:rsid w:val="000F44AC"/>
    <w:rsid w:val="000F5AE3"/>
    <w:rsid w:val="000F6B14"/>
    <w:rsid w:val="000F7B9D"/>
    <w:rsid w:val="00100222"/>
    <w:rsid w:val="00100909"/>
    <w:rsid w:val="00103665"/>
    <w:rsid w:val="00103986"/>
    <w:rsid w:val="00103EFA"/>
    <w:rsid w:val="00104899"/>
    <w:rsid w:val="00104B4D"/>
    <w:rsid w:val="00104D27"/>
    <w:rsid w:val="00104D5D"/>
    <w:rsid w:val="00106B14"/>
    <w:rsid w:val="00107135"/>
    <w:rsid w:val="001075D1"/>
    <w:rsid w:val="001077B2"/>
    <w:rsid w:val="00107952"/>
    <w:rsid w:val="001105BB"/>
    <w:rsid w:val="00110CFB"/>
    <w:rsid w:val="00111830"/>
    <w:rsid w:val="00112178"/>
    <w:rsid w:val="001122EF"/>
    <w:rsid w:val="00112E13"/>
    <w:rsid w:val="0011358E"/>
    <w:rsid w:val="0011375F"/>
    <w:rsid w:val="00113F6D"/>
    <w:rsid w:val="00116371"/>
    <w:rsid w:val="00116DF4"/>
    <w:rsid w:val="001172B1"/>
    <w:rsid w:val="001178CE"/>
    <w:rsid w:val="00120478"/>
    <w:rsid w:val="001204E7"/>
    <w:rsid w:val="0012094F"/>
    <w:rsid w:val="00120F8A"/>
    <w:rsid w:val="0012171C"/>
    <w:rsid w:val="00121C5D"/>
    <w:rsid w:val="00121D98"/>
    <w:rsid w:val="00121EB2"/>
    <w:rsid w:val="0012459E"/>
    <w:rsid w:val="0012487B"/>
    <w:rsid w:val="0012495A"/>
    <w:rsid w:val="00124A37"/>
    <w:rsid w:val="00124D41"/>
    <w:rsid w:val="0012633F"/>
    <w:rsid w:val="00127D29"/>
    <w:rsid w:val="00127E2F"/>
    <w:rsid w:val="00130AB3"/>
    <w:rsid w:val="00130F90"/>
    <w:rsid w:val="001312B7"/>
    <w:rsid w:val="00131EB1"/>
    <w:rsid w:val="00133FC8"/>
    <w:rsid w:val="00134539"/>
    <w:rsid w:val="00134EFA"/>
    <w:rsid w:val="00136321"/>
    <w:rsid w:val="0013688B"/>
    <w:rsid w:val="001373E7"/>
    <w:rsid w:val="0014034F"/>
    <w:rsid w:val="0014059F"/>
    <w:rsid w:val="00140AE1"/>
    <w:rsid w:val="00140D33"/>
    <w:rsid w:val="00140EAA"/>
    <w:rsid w:val="00142377"/>
    <w:rsid w:val="00142DD8"/>
    <w:rsid w:val="00143530"/>
    <w:rsid w:val="00144307"/>
    <w:rsid w:val="00144390"/>
    <w:rsid w:val="00144661"/>
    <w:rsid w:val="0014593C"/>
    <w:rsid w:val="001464FA"/>
    <w:rsid w:val="00146B9F"/>
    <w:rsid w:val="00146F69"/>
    <w:rsid w:val="00147993"/>
    <w:rsid w:val="001479FA"/>
    <w:rsid w:val="00150015"/>
    <w:rsid w:val="001505B0"/>
    <w:rsid w:val="00150777"/>
    <w:rsid w:val="00150830"/>
    <w:rsid w:val="00150847"/>
    <w:rsid w:val="001512BD"/>
    <w:rsid w:val="00151452"/>
    <w:rsid w:val="00151D54"/>
    <w:rsid w:val="00151FBA"/>
    <w:rsid w:val="00152DC3"/>
    <w:rsid w:val="00153082"/>
    <w:rsid w:val="0015328D"/>
    <w:rsid w:val="001535F3"/>
    <w:rsid w:val="00153747"/>
    <w:rsid w:val="00153785"/>
    <w:rsid w:val="00155C1D"/>
    <w:rsid w:val="00156447"/>
    <w:rsid w:val="001565D8"/>
    <w:rsid w:val="00157A11"/>
    <w:rsid w:val="001617B4"/>
    <w:rsid w:val="001618EF"/>
    <w:rsid w:val="0016230C"/>
    <w:rsid w:val="001625FD"/>
    <w:rsid w:val="001627CC"/>
    <w:rsid w:val="00162E96"/>
    <w:rsid w:val="00162F92"/>
    <w:rsid w:val="00163063"/>
    <w:rsid w:val="00165114"/>
    <w:rsid w:val="001654A6"/>
    <w:rsid w:val="00165A47"/>
    <w:rsid w:val="00165C66"/>
    <w:rsid w:val="00165CCD"/>
    <w:rsid w:val="0016706E"/>
    <w:rsid w:val="00170496"/>
    <w:rsid w:val="00170E92"/>
    <w:rsid w:val="00172613"/>
    <w:rsid w:val="001726D7"/>
    <w:rsid w:val="00172AAD"/>
    <w:rsid w:val="00172AD9"/>
    <w:rsid w:val="00173AA8"/>
    <w:rsid w:val="00173E45"/>
    <w:rsid w:val="00174017"/>
    <w:rsid w:val="00174269"/>
    <w:rsid w:val="00174487"/>
    <w:rsid w:val="00174E01"/>
    <w:rsid w:val="001756BB"/>
    <w:rsid w:val="001763F9"/>
    <w:rsid w:val="00176F94"/>
    <w:rsid w:val="001801BF"/>
    <w:rsid w:val="00180A13"/>
    <w:rsid w:val="00181037"/>
    <w:rsid w:val="00182605"/>
    <w:rsid w:val="001832C2"/>
    <w:rsid w:val="001835CC"/>
    <w:rsid w:val="00183611"/>
    <w:rsid w:val="0018445A"/>
    <w:rsid w:val="00184589"/>
    <w:rsid w:val="00184B3F"/>
    <w:rsid w:val="001863C5"/>
    <w:rsid w:val="0018767C"/>
    <w:rsid w:val="00187C8D"/>
    <w:rsid w:val="00190338"/>
    <w:rsid w:val="001905AF"/>
    <w:rsid w:val="00192058"/>
    <w:rsid w:val="0019214B"/>
    <w:rsid w:val="0019270B"/>
    <w:rsid w:val="00192EBF"/>
    <w:rsid w:val="0019316C"/>
    <w:rsid w:val="001939C3"/>
    <w:rsid w:val="00193BD5"/>
    <w:rsid w:val="00194CC9"/>
    <w:rsid w:val="00194E15"/>
    <w:rsid w:val="00194F2D"/>
    <w:rsid w:val="001957CD"/>
    <w:rsid w:val="00195B3C"/>
    <w:rsid w:val="00195F51"/>
    <w:rsid w:val="00196E1B"/>
    <w:rsid w:val="0019710C"/>
    <w:rsid w:val="00197755"/>
    <w:rsid w:val="00197A9B"/>
    <w:rsid w:val="00197A9D"/>
    <w:rsid w:val="001A021A"/>
    <w:rsid w:val="001A111F"/>
    <w:rsid w:val="001A280A"/>
    <w:rsid w:val="001A2B36"/>
    <w:rsid w:val="001A3128"/>
    <w:rsid w:val="001A3611"/>
    <w:rsid w:val="001A4502"/>
    <w:rsid w:val="001A4F46"/>
    <w:rsid w:val="001A5CCF"/>
    <w:rsid w:val="001A5ECC"/>
    <w:rsid w:val="001A6B9C"/>
    <w:rsid w:val="001A76BF"/>
    <w:rsid w:val="001B0834"/>
    <w:rsid w:val="001B0E0F"/>
    <w:rsid w:val="001B1064"/>
    <w:rsid w:val="001B1468"/>
    <w:rsid w:val="001B2E87"/>
    <w:rsid w:val="001B30C2"/>
    <w:rsid w:val="001B3FB6"/>
    <w:rsid w:val="001B4D04"/>
    <w:rsid w:val="001B4FB7"/>
    <w:rsid w:val="001B566C"/>
    <w:rsid w:val="001B5B34"/>
    <w:rsid w:val="001B6F3B"/>
    <w:rsid w:val="001B7B3B"/>
    <w:rsid w:val="001C04EF"/>
    <w:rsid w:val="001C0746"/>
    <w:rsid w:val="001C091D"/>
    <w:rsid w:val="001C0B2F"/>
    <w:rsid w:val="001C10E8"/>
    <w:rsid w:val="001C1ACF"/>
    <w:rsid w:val="001C1CD2"/>
    <w:rsid w:val="001C1F60"/>
    <w:rsid w:val="001C2616"/>
    <w:rsid w:val="001C37BC"/>
    <w:rsid w:val="001C41EE"/>
    <w:rsid w:val="001C47D7"/>
    <w:rsid w:val="001C4DE2"/>
    <w:rsid w:val="001C64A9"/>
    <w:rsid w:val="001C6554"/>
    <w:rsid w:val="001C66D0"/>
    <w:rsid w:val="001C6BBE"/>
    <w:rsid w:val="001C748E"/>
    <w:rsid w:val="001C7C24"/>
    <w:rsid w:val="001C7EF2"/>
    <w:rsid w:val="001D1E49"/>
    <w:rsid w:val="001D1E8D"/>
    <w:rsid w:val="001D1FBB"/>
    <w:rsid w:val="001D29E2"/>
    <w:rsid w:val="001D3B11"/>
    <w:rsid w:val="001D41F2"/>
    <w:rsid w:val="001D4D6E"/>
    <w:rsid w:val="001D6612"/>
    <w:rsid w:val="001D73FC"/>
    <w:rsid w:val="001D7999"/>
    <w:rsid w:val="001E070F"/>
    <w:rsid w:val="001E0D33"/>
    <w:rsid w:val="001E1D6D"/>
    <w:rsid w:val="001E27A3"/>
    <w:rsid w:val="001E2D4D"/>
    <w:rsid w:val="001E31F6"/>
    <w:rsid w:val="001E39F7"/>
    <w:rsid w:val="001E4114"/>
    <w:rsid w:val="001E487A"/>
    <w:rsid w:val="001E4BF2"/>
    <w:rsid w:val="001E4C34"/>
    <w:rsid w:val="001E58AF"/>
    <w:rsid w:val="001E5924"/>
    <w:rsid w:val="001E6297"/>
    <w:rsid w:val="001E6A78"/>
    <w:rsid w:val="001E7855"/>
    <w:rsid w:val="001F0435"/>
    <w:rsid w:val="001F0DCB"/>
    <w:rsid w:val="001F2EE6"/>
    <w:rsid w:val="001F2F12"/>
    <w:rsid w:val="001F38C3"/>
    <w:rsid w:val="001F397D"/>
    <w:rsid w:val="001F46FB"/>
    <w:rsid w:val="001F487F"/>
    <w:rsid w:val="001F4E3F"/>
    <w:rsid w:val="001F52BB"/>
    <w:rsid w:val="001F53A5"/>
    <w:rsid w:val="001F5CA1"/>
    <w:rsid w:val="001F6957"/>
    <w:rsid w:val="001F72E9"/>
    <w:rsid w:val="001F7FBF"/>
    <w:rsid w:val="00200084"/>
    <w:rsid w:val="00200B06"/>
    <w:rsid w:val="0020281C"/>
    <w:rsid w:val="00202EE4"/>
    <w:rsid w:val="00202F8F"/>
    <w:rsid w:val="002038B7"/>
    <w:rsid w:val="002039A1"/>
    <w:rsid w:val="0020430D"/>
    <w:rsid w:val="002047D4"/>
    <w:rsid w:val="0020616D"/>
    <w:rsid w:val="00206D0A"/>
    <w:rsid w:val="0020740B"/>
    <w:rsid w:val="00210555"/>
    <w:rsid w:val="002107F6"/>
    <w:rsid w:val="002110C0"/>
    <w:rsid w:val="0021115E"/>
    <w:rsid w:val="00213E4B"/>
    <w:rsid w:val="00213EF1"/>
    <w:rsid w:val="00214027"/>
    <w:rsid w:val="0021413A"/>
    <w:rsid w:val="00214497"/>
    <w:rsid w:val="00214B1B"/>
    <w:rsid w:val="0021500D"/>
    <w:rsid w:val="00215AFE"/>
    <w:rsid w:val="00215DCD"/>
    <w:rsid w:val="00216066"/>
    <w:rsid w:val="00216549"/>
    <w:rsid w:val="00216B6E"/>
    <w:rsid w:val="00216DD1"/>
    <w:rsid w:val="002170C8"/>
    <w:rsid w:val="002177E3"/>
    <w:rsid w:val="002178B9"/>
    <w:rsid w:val="00217DA4"/>
    <w:rsid w:val="00220813"/>
    <w:rsid w:val="00221312"/>
    <w:rsid w:val="00221A16"/>
    <w:rsid w:val="00222038"/>
    <w:rsid w:val="002232F7"/>
    <w:rsid w:val="00223AC1"/>
    <w:rsid w:val="00223B8F"/>
    <w:rsid w:val="00223D74"/>
    <w:rsid w:val="00224394"/>
    <w:rsid w:val="00224F33"/>
    <w:rsid w:val="00230527"/>
    <w:rsid w:val="002306C3"/>
    <w:rsid w:val="00231865"/>
    <w:rsid w:val="00231D14"/>
    <w:rsid w:val="00231E5B"/>
    <w:rsid w:val="002320CD"/>
    <w:rsid w:val="002324EE"/>
    <w:rsid w:val="00233EA1"/>
    <w:rsid w:val="00234238"/>
    <w:rsid w:val="00236531"/>
    <w:rsid w:val="002370F4"/>
    <w:rsid w:val="0023715C"/>
    <w:rsid w:val="00237C8B"/>
    <w:rsid w:val="0024009D"/>
    <w:rsid w:val="00241109"/>
    <w:rsid w:val="00243B56"/>
    <w:rsid w:val="0024478E"/>
    <w:rsid w:val="00244EE9"/>
    <w:rsid w:val="00245063"/>
    <w:rsid w:val="0024507F"/>
    <w:rsid w:val="00245A6B"/>
    <w:rsid w:val="00245CD5"/>
    <w:rsid w:val="00246135"/>
    <w:rsid w:val="00246858"/>
    <w:rsid w:val="00247057"/>
    <w:rsid w:val="00247570"/>
    <w:rsid w:val="00247D94"/>
    <w:rsid w:val="00247FD6"/>
    <w:rsid w:val="002503BC"/>
    <w:rsid w:val="00250C7F"/>
    <w:rsid w:val="00251528"/>
    <w:rsid w:val="00251B7B"/>
    <w:rsid w:val="00251F45"/>
    <w:rsid w:val="002523F4"/>
    <w:rsid w:val="00253E60"/>
    <w:rsid w:val="0025400E"/>
    <w:rsid w:val="0025408C"/>
    <w:rsid w:val="00254A94"/>
    <w:rsid w:val="002572BC"/>
    <w:rsid w:val="00260D73"/>
    <w:rsid w:val="0026164C"/>
    <w:rsid w:val="00261A0A"/>
    <w:rsid w:val="00262438"/>
    <w:rsid w:val="0026340A"/>
    <w:rsid w:val="00263593"/>
    <w:rsid w:val="00265C57"/>
    <w:rsid w:val="002664CC"/>
    <w:rsid w:val="00266527"/>
    <w:rsid w:val="00266574"/>
    <w:rsid w:val="00266624"/>
    <w:rsid w:val="00266779"/>
    <w:rsid w:val="00266859"/>
    <w:rsid w:val="00267801"/>
    <w:rsid w:val="002678EA"/>
    <w:rsid w:val="00267B2C"/>
    <w:rsid w:val="002701CC"/>
    <w:rsid w:val="002703D3"/>
    <w:rsid w:val="002716D6"/>
    <w:rsid w:val="00271712"/>
    <w:rsid w:val="00271A21"/>
    <w:rsid w:val="00272092"/>
    <w:rsid w:val="002729D6"/>
    <w:rsid w:val="00272D90"/>
    <w:rsid w:val="002745CC"/>
    <w:rsid w:val="00274BE4"/>
    <w:rsid w:val="00274CB8"/>
    <w:rsid w:val="00274D2F"/>
    <w:rsid w:val="00275730"/>
    <w:rsid w:val="00276064"/>
    <w:rsid w:val="00276660"/>
    <w:rsid w:val="00276DE9"/>
    <w:rsid w:val="00276F7F"/>
    <w:rsid w:val="00277409"/>
    <w:rsid w:val="00277783"/>
    <w:rsid w:val="002806DD"/>
    <w:rsid w:val="002811FF"/>
    <w:rsid w:val="00281597"/>
    <w:rsid w:val="00281AF7"/>
    <w:rsid w:val="002822B6"/>
    <w:rsid w:val="002835E9"/>
    <w:rsid w:val="0028481E"/>
    <w:rsid w:val="0028489B"/>
    <w:rsid w:val="002852CD"/>
    <w:rsid w:val="00285FBC"/>
    <w:rsid w:val="00286786"/>
    <w:rsid w:val="00286B90"/>
    <w:rsid w:val="00286FC5"/>
    <w:rsid w:val="00287485"/>
    <w:rsid w:val="00290535"/>
    <w:rsid w:val="002906CC"/>
    <w:rsid w:val="00290D07"/>
    <w:rsid w:val="002913BA"/>
    <w:rsid w:val="002916D8"/>
    <w:rsid w:val="00292471"/>
    <w:rsid w:val="00292BD3"/>
    <w:rsid w:val="00293D63"/>
    <w:rsid w:val="00293EE6"/>
    <w:rsid w:val="002958C7"/>
    <w:rsid w:val="0029662D"/>
    <w:rsid w:val="00296D6E"/>
    <w:rsid w:val="0029713B"/>
    <w:rsid w:val="00297479"/>
    <w:rsid w:val="00297766"/>
    <w:rsid w:val="002979E6"/>
    <w:rsid w:val="002A066E"/>
    <w:rsid w:val="002A0A2D"/>
    <w:rsid w:val="002A11A7"/>
    <w:rsid w:val="002A1A59"/>
    <w:rsid w:val="002A29D2"/>
    <w:rsid w:val="002A31A6"/>
    <w:rsid w:val="002A36B6"/>
    <w:rsid w:val="002A3905"/>
    <w:rsid w:val="002A40CA"/>
    <w:rsid w:val="002A47A5"/>
    <w:rsid w:val="002A4C0E"/>
    <w:rsid w:val="002B0002"/>
    <w:rsid w:val="002B0137"/>
    <w:rsid w:val="002B0736"/>
    <w:rsid w:val="002B08DA"/>
    <w:rsid w:val="002B131C"/>
    <w:rsid w:val="002B2F1A"/>
    <w:rsid w:val="002B3260"/>
    <w:rsid w:val="002B443F"/>
    <w:rsid w:val="002B45D5"/>
    <w:rsid w:val="002B4B93"/>
    <w:rsid w:val="002B4C11"/>
    <w:rsid w:val="002B4E37"/>
    <w:rsid w:val="002B58A5"/>
    <w:rsid w:val="002B5F90"/>
    <w:rsid w:val="002B613F"/>
    <w:rsid w:val="002B689D"/>
    <w:rsid w:val="002B7726"/>
    <w:rsid w:val="002C2731"/>
    <w:rsid w:val="002C299C"/>
    <w:rsid w:val="002C3155"/>
    <w:rsid w:val="002C5017"/>
    <w:rsid w:val="002C5585"/>
    <w:rsid w:val="002C635A"/>
    <w:rsid w:val="002C7220"/>
    <w:rsid w:val="002D13CA"/>
    <w:rsid w:val="002D179C"/>
    <w:rsid w:val="002D1A84"/>
    <w:rsid w:val="002D1D72"/>
    <w:rsid w:val="002D1FCF"/>
    <w:rsid w:val="002D2211"/>
    <w:rsid w:val="002D27FF"/>
    <w:rsid w:val="002D3A4E"/>
    <w:rsid w:val="002D3B8E"/>
    <w:rsid w:val="002D4AED"/>
    <w:rsid w:val="002D4BA6"/>
    <w:rsid w:val="002D4D72"/>
    <w:rsid w:val="002D4F05"/>
    <w:rsid w:val="002D4F88"/>
    <w:rsid w:val="002D5ABF"/>
    <w:rsid w:val="002D6FA9"/>
    <w:rsid w:val="002D7EDC"/>
    <w:rsid w:val="002E08AB"/>
    <w:rsid w:val="002E153B"/>
    <w:rsid w:val="002E16C1"/>
    <w:rsid w:val="002E2550"/>
    <w:rsid w:val="002E4A74"/>
    <w:rsid w:val="002E58F2"/>
    <w:rsid w:val="002E68EB"/>
    <w:rsid w:val="002E6BEE"/>
    <w:rsid w:val="002E767F"/>
    <w:rsid w:val="002E7A95"/>
    <w:rsid w:val="002F12D1"/>
    <w:rsid w:val="002F17C6"/>
    <w:rsid w:val="002F2286"/>
    <w:rsid w:val="002F2522"/>
    <w:rsid w:val="002F30CE"/>
    <w:rsid w:val="002F34D4"/>
    <w:rsid w:val="002F354F"/>
    <w:rsid w:val="002F369F"/>
    <w:rsid w:val="002F463B"/>
    <w:rsid w:val="002F474A"/>
    <w:rsid w:val="002F6402"/>
    <w:rsid w:val="002F6A17"/>
    <w:rsid w:val="002F6B3D"/>
    <w:rsid w:val="002F75D8"/>
    <w:rsid w:val="002F7F74"/>
    <w:rsid w:val="00300ECF"/>
    <w:rsid w:val="003011F5"/>
    <w:rsid w:val="003016B4"/>
    <w:rsid w:val="00302587"/>
    <w:rsid w:val="00302A6F"/>
    <w:rsid w:val="00303908"/>
    <w:rsid w:val="00303AA3"/>
    <w:rsid w:val="003041E7"/>
    <w:rsid w:val="00304787"/>
    <w:rsid w:val="003048B3"/>
    <w:rsid w:val="00306B3F"/>
    <w:rsid w:val="00307389"/>
    <w:rsid w:val="003076F3"/>
    <w:rsid w:val="00310016"/>
    <w:rsid w:val="003103B2"/>
    <w:rsid w:val="003106D8"/>
    <w:rsid w:val="00311338"/>
    <w:rsid w:val="003126CE"/>
    <w:rsid w:val="00312865"/>
    <w:rsid w:val="003136B5"/>
    <w:rsid w:val="003137DA"/>
    <w:rsid w:val="003138A5"/>
    <w:rsid w:val="00313FA9"/>
    <w:rsid w:val="00315733"/>
    <w:rsid w:val="003158EE"/>
    <w:rsid w:val="00315A66"/>
    <w:rsid w:val="00315A89"/>
    <w:rsid w:val="00316D26"/>
    <w:rsid w:val="003175A2"/>
    <w:rsid w:val="00320296"/>
    <w:rsid w:val="003211A6"/>
    <w:rsid w:val="00321AE9"/>
    <w:rsid w:val="0032226C"/>
    <w:rsid w:val="0032314D"/>
    <w:rsid w:val="003238BA"/>
    <w:rsid w:val="003239A6"/>
    <w:rsid w:val="00323FD6"/>
    <w:rsid w:val="00324185"/>
    <w:rsid w:val="00324C34"/>
    <w:rsid w:val="00325E8B"/>
    <w:rsid w:val="003266D3"/>
    <w:rsid w:val="00330247"/>
    <w:rsid w:val="0033070B"/>
    <w:rsid w:val="00331797"/>
    <w:rsid w:val="003321E7"/>
    <w:rsid w:val="003325E3"/>
    <w:rsid w:val="0033289C"/>
    <w:rsid w:val="00332D2F"/>
    <w:rsid w:val="00333231"/>
    <w:rsid w:val="00333347"/>
    <w:rsid w:val="00333596"/>
    <w:rsid w:val="00334171"/>
    <w:rsid w:val="003345E7"/>
    <w:rsid w:val="00334C6F"/>
    <w:rsid w:val="003350E3"/>
    <w:rsid w:val="00335967"/>
    <w:rsid w:val="00336DAE"/>
    <w:rsid w:val="003375AD"/>
    <w:rsid w:val="00337BCD"/>
    <w:rsid w:val="00337C0E"/>
    <w:rsid w:val="00337DED"/>
    <w:rsid w:val="00340889"/>
    <w:rsid w:val="003408C8"/>
    <w:rsid w:val="00341678"/>
    <w:rsid w:val="00342970"/>
    <w:rsid w:val="00342C3C"/>
    <w:rsid w:val="00342F42"/>
    <w:rsid w:val="00343C5D"/>
    <w:rsid w:val="00343F4A"/>
    <w:rsid w:val="00343FDA"/>
    <w:rsid w:val="0034526A"/>
    <w:rsid w:val="0034592C"/>
    <w:rsid w:val="003465F1"/>
    <w:rsid w:val="0034693B"/>
    <w:rsid w:val="00347181"/>
    <w:rsid w:val="00347CBF"/>
    <w:rsid w:val="00350417"/>
    <w:rsid w:val="00350F8E"/>
    <w:rsid w:val="003514F3"/>
    <w:rsid w:val="0035162B"/>
    <w:rsid w:val="0035194C"/>
    <w:rsid w:val="00351BE1"/>
    <w:rsid w:val="00351D92"/>
    <w:rsid w:val="00352B8C"/>
    <w:rsid w:val="00353661"/>
    <w:rsid w:val="00353B25"/>
    <w:rsid w:val="00355722"/>
    <w:rsid w:val="003557A7"/>
    <w:rsid w:val="00355985"/>
    <w:rsid w:val="00355CC6"/>
    <w:rsid w:val="00356167"/>
    <w:rsid w:val="0035625F"/>
    <w:rsid w:val="0036110B"/>
    <w:rsid w:val="00361173"/>
    <w:rsid w:val="003614CA"/>
    <w:rsid w:val="00361680"/>
    <w:rsid w:val="003621B9"/>
    <w:rsid w:val="00362ED1"/>
    <w:rsid w:val="003643B6"/>
    <w:rsid w:val="003644BF"/>
    <w:rsid w:val="00365304"/>
    <w:rsid w:val="00365438"/>
    <w:rsid w:val="00367155"/>
    <w:rsid w:val="00367485"/>
    <w:rsid w:val="00367CDF"/>
    <w:rsid w:val="00370144"/>
    <w:rsid w:val="00370D0E"/>
    <w:rsid w:val="00370E63"/>
    <w:rsid w:val="00371299"/>
    <w:rsid w:val="0037150B"/>
    <w:rsid w:val="00371850"/>
    <w:rsid w:val="00371932"/>
    <w:rsid w:val="00371D13"/>
    <w:rsid w:val="00372147"/>
    <w:rsid w:val="0037333D"/>
    <w:rsid w:val="00374BAB"/>
    <w:rsid w:val="00376A6C"/>
    <w:rsid w:val="00376DBD"/>
    <w:rsid w:val="0037751F"/>
    <w:rsid w:val="003779F8"/>
    <w:rsid w:val="00377B88"/>
    <w:rsid w:val="00377C6C"/>
    <w:rsid w:val="00377E4C"/>
    <w:rsid w:val="00381E0D"/>
    <w:rsid w:val="00382893"/>
    <w:rsid w:val="0038585D"/>
    <w:rsid w:val="00387C30"/>
    <w:rsid w:val="00387FAC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3372"/>
    <w:rsid w:val="003946CD"/>
    <w:rsid w:val="0039507E"/>
    <w:rsid w:val="00395624"/>
    <w:rsid w:val="00395FAE"/>
    <w:rsid w:val="00396272"/>
    <w:rsid w:val="00396F6D"/>
    <w:rsid w:val="00397C32"/>
    <w:rsid w:val="003A087E"/>
    <w:rsid w:val="003A1081"/>
    <w:rsid w:val="003A1AA5"/>
    <w:rsid w:val="003A2B7C"/>
    <w:rsid w:val="003A2D95"/>
    <w:rsid w:val="003A3152"/>
    <w:rsid w:val="003A33CD"/>
    <w:rsid w:val="003A3DCA"/>
    <w:rsid w:val="003A4D50"/>
    <w:rsid w:val="003A50C6"/>
    <w:rsid w:val="003A5DFD"/>
    <w:rsid w:val="003A5F3B"/>
    <w:rsid w:val="003A69E2"/>
    <w:rsid w:val="003A6F30"/>
    <w:rsid w:val="003A73E2"/>
    <w:rsid w:val="003B1139"/>
    <w:rsid w:val="003B1936"/>
    <w:rsid w:val="003B1D9B"/>
    <w:rsid w:val="003B249E"/>
    <w:rsid w:val="003B254B"/>
    <w:rsid w:val="003B25D3"/>
    <w:rsid w:val="003B2AB7"/>
    <w:rsid w:val="003B48C8"/>
    <w:rsid w:val="003B4FA0"/>
    <w:rsid w:val="003B521C"/>
    <w:rsid w:val="003B5494"/>
    <w:rsid w:val="003B5707"/>
    <w:rsid w:val="003B5F53"/>
    <w:rsid w:val="003B6443"/>
    <w:rsid w:val="003B69DB"/>
    <w:rsid w:val="003B6C4E"/>
    <w:rsid w:val="003B6D44"/>
    <w:rsid w:val="003B727A"/>
    <w:rsid w:val="003B7318"/>
    <w:rsid w:val="003B7B7C"/>
    <w:rsid w:val="003B7DFC"/>
    <w:rsid w:val="003C1647"/>
    <w:rsid w:val="003C4619"/>
    <w:rsid w:val="003C4A96"/>
    <w:rsid w:val="003C5673"/>
    <w:rsid w:val="003C5973"/>
    <w:rsid w:val="003C5C14"/>
    <w:rsid w:val="003C64C5"/>
    <w:rsid w:val="003C7139"/>
    <w:rsid w:val="003D0255"/>
    <w:rsid w:val="003D0499"/>
    <w:rsid w:val="003D504E"/>
    <w:rsid w:val="003D51F2"/>
    <w:rsid w:val="003D5981"/>
    <w:rsid w:val="003D5B14"/>
    <w:rsid w:val="003D6071"/>
    <w:rsid w:val="003D6079"/>
    <w:rsid w:val="003D6D71"/>
    <w:rsid w:val="003D7245"/>
    <w:rsid w:val="003D7C40"/>
    <w:rsid w:val="003E0523"/>
    <w:rsid w:val="003E1008"/>
    <w:rsid w:val="003E1501"/>
    <w:rsid w:val="003E3F49"/>
    <w:rsid w:val="003E4236"/>
    <w:rsid w:val="003E4A86"/>
    <w:rsid w:val="003E4F06"/>
    <w:rsid w:val="003E52F5"/>
    <w:rsid w:val="003E5499"/>
    <w:rsid w:val="003E549E"/>
    <w:rsid w:val="003E59FF"/>
    <w:rsid w:val="003E5B37"/>
    <w:rsid w:val="003E6FE2"/>
    <w:rsid w:val="003E704F"/>
    <w:rsid w:val="003E78F5"/>
    <w:rsid w:val="003E7A6D"/>
    <w:rsid w:val="003E7B5B"/>
    <w:rsid w:val="003F04B0"/>
    <w:rsid w:val="003F0EF7"/>
    <w:rsid w:val="003F1325"/>
    <w:rsid w:val="003F1673"/>
    <w:rsid w:val="003F3263"/>
    <w:rsid w:val="003F5394"/>
    <w:rsid w:val="003F54D6"/>
    <w:rsid w:val="003F5593"/>
    <w:rsid w:val="003F6AB1"/>
    <w:rsid w:val="003F6BD5"/>
    <w:rsid w:val="003F6D4F"/>
    <w:rsid w:val="003F70E3"/>
    <w:rsid w:val="003F72AD"/>
    <w:rsid w:val="004007B1"/>
    <w:rsid w:val="004008B0"/>
    <w:rsid w:val="00400F61"/>
    <w:rsid w:val="0040112C"/>
    <w:rsid w:val="004012FA"/>
    <w:rsid w:val="00402394"/>
    <w:rsid w:val="004023CF"/>
    <w:rsid w:val="0040385A"/>
    <w:rsid w:val="00404A9F"/>
    <w:rsid w:val="00404C2C"/>
    <w:rsid w:val="0040698F"/>
    <w:rsid w:val="00406F35"/>
    <w:rsid w:val="00407516"/>
    <w:rsid w:val="00407F95"/>
    <w:rsid w:val="00411C08"/>
    <w:rsid w:val="00412839"/>
    <w:rsid w:val="00412D64"/>
    <w:rsid w:val="0041320B"/>
    <w:rsid w:val="004136DA"/>
    <w:rsid w:val="004137D5"/>
    <w:rsid w:val="00413EB0"/>
    <w:rsid w:val="00413FD4"/>
    <w:rsid w:val="004141D6"/>
    <w:rsid w:val="0041484B"/>
    <w:rsid w:val="00415EFE"/>
    <w:rsid w:val="00417962"/>
    <w:rsid w:val="00417A07"/>
    <w:rsid w:val="00417A13"/>
    <w:rsid w:val="00420739"/>
    <w:rsid w:val="00420810"/>
    <w:rsid w:val="00420E58"/>
    <w:rsid w:val="00421602"/>
    <w:rsid w:val="00421A11"/>
    <w:rsid w:val="00421E98"/>
    <w:rsid w:val="00423728"/>
    <w:rsid w:val="0042380E"/>
    <w:rsid w:val="00423A73"/>
    <w:rsid w:val="004244D7"/>
    <w:rsid w:val="00424573"/>
    <w:rsid w:val="00424974"/>
    <w:rsid w:val="00426BC8"/>
    <w:rsid w:val="00426BC9"/>
    <w:rsid w:val="00426DC4"/>
    <w:rsid w:val="00426F11"/>
    <w:rsid w:val="00427A12"/>
    <w:rsid w:val="00427B9F"/>
    <w:rsid w:val="00433688"/>
    <w:rsid w:val="0043373E"/>
    <w:rsid w:val="00434775"/>
    <w:rsid w:val="00434B3F"/>
    <w:rsid w:val="00434FC9"/>
    <w:rsid w:val="00435750"/>
    <w:rsid w:val="00436D74"/>
    <w:rsid w:val="00436DA6"/>
    <w:rsid w:val="00437D31"/>
    <w:rsid w:val="00440024"/>
    <w:rsid w:val="004414D4"/>
    <w:rsid w:val="004415D8"/>
    <w:rsid w:val="0044254D"/>
    <w:rsid w:val="0044291E"/>
    <w:rsid w:val="0044298B"/>
    <w:rsid w:val="004434AB"/>
    <w:rsid w:val="00443605"/>
    <w:rsid w:val="00443736"/>
    <w:rsid w:val="00443B3B"/>
    <w:rsid w:val="00443BB7"/>
    <w:rsid w:val="00444EC3"/>
    <w:rsid w:val="004451F0"/>
    <w:rsid w:val="00445512"/>
    <w:rsid w:val="00445864"/>
    <w:rsid w:val="00445D3C"/>
    <w:rsid w:val="00445D67"/>
    <w:rsid w:val="0044721D"/>
    <w:rsid w:val="00451B35"/>
    <w:rsid w:val="00452151"/>
    <w:rsid w:val="00452174"/>
    <w:rsid w:val="00452291"/>
    <w:rsid w:val="00452617"/>
    <w:rsid w:val="00452BD9"/>
    <w:rsid w:val="004536BE"/>
    <w:rsid w:val="00453CA4"/>
    <w:rsid w:val="00455DE7"/>
    <w:rsid w:val="00457435"/>
    <w:rsid w:val="004578EE"/>
    <w:rsid w:val="00457BE6"/>
    <w:rsid w:val="0046072E"/>
    <w:rsid w:val="00461712"/>
    <w:rsid w:val="004633B4"/>
    <w:rsid w:val="00463987"/>
    <w:rsid w:val="004655EF"/>
    <w:rsid w:val="00466BAA"/>
    <w:rsid w:val="004705C3"/>
    <w:rsid w:val="00470F5C"/>
    <w:rsid w:val="00471AC3"/>
    <w:rsid w:val="00471EE7"/>
    <w:rsid w:val="004725C7"/>
    <w:rsid w:val="0047321D"/>
    <w:rsid w:val="00473D9F"/>
    <w:rsid w:val="00475BCA"/>
    <w:rsid w:val="004764EF"/>
    <w:rsid w:val="004771D8"/>
    <w:rsid w:val="004806F3"/>
    <w:rsid w:val="00480DC4"/>
    <w:rsid w:val="00481686"/>
    <w:rsid w:val="0048257E"/>
    <w:rsid w:val="00483739"/>
    <w:rsid w:val="004848FE"/>
    <w:rsid w:val="004849F3"/>
    <w:rsid w:val="004852C9"/>
    <w:rsid w:val="0048708D"/>
    <w:rsid w:val="00487F0A"/>
    <w:rsid w:val="00487F33"/>
    <w:rsid w:val="00490B73"/>
    <w:rsid w:val="00491D3C"/>
    <w:rsid w:val="00492303"/>
    <w:rsid w:val="0049270B"/>
    <w:rsid w:val="00493B8F"/>
    <w:rsid w:val="00493F04"/>
    <w:rsid w:val="0049447A"/>
    <w:rsid w:val="004953BC"/>
    <w:rsid w:val="00495CB8"/>
    <w:rsid w:val="00495D50"/>
    <w:rsid w:val="004961B2"/>
    <w:rsid w:val="004966C7"/>
    <w:rsid w:val="004967FC"/>
    <w:rsid w:val="00496B8B"/>
    <w:rsid w:val="00497C7C"/>
    <w:rsid w:val="004A0CAA"/>
    <w:rsid w:val="004A0F8D"/>
    <w:rsid w:val="004A14C9"/>
    <w:rsid w:val="004A35FD"/>
    <w:rsid w:val="004A3B28"/>
    <w:rsid w:val="004A3EBE"/>
    <w:rsid w:val="004A5235"/>
    <w:rsid w:val="004A543C"/>
    <w:rsid w:val="004A5741"/>
    <w:rsid w:val="004A596C"/>
    <w:rsid w:val="004A63AD"/>
    <w:rsid w:val="004A6794"/>
    <w:rsid w:val="004B088B"/>
    <w:rsid w:val="004B15E9"/>
    <w:rsid w:val="004B17D9"/>
    <w:rsid w:val="004B1EC5"/>
    <w:rsid w:val="004B2332"/>
    <w:rsid w:val="004B2BA5"/>
    <w:rsid w:val="004B2CD9"/>
    <w:rsid w:val="004B3280"/>
    <w:rsid w:val="004B3B7F"/>
    <w:rsid w:val="004B40B7"/>
    <w:rsid w:val="004B4329"/>
    <w:rsid w:val="004B4D52"/>
    <w:rsid w:val="004B52DE"/>
    <w:rsid w:val="004B6380"/>
    <w:rsid w:val="004B6455"/>
    <w:rsid w:val="004B7496"/>
    <w:rsid w:val="004C07AA"/>
    <w:rsid w:val="004C08B5"/>
    <w:rsid w:val="004C1CDB"/>
    <w:rsid w:val="004C31DC"/>
    <w:rsid w:val="004C3868"/>
    <w:rsid w:val="004C423B"/>
    <w:rsid w:val="004C4286"/>
    <w:rsid w:val="004C446E"/>
    <w:rsid w:val="004C44F0"/>
    <w:rsid w:val="004C4520"/>
    <w:rsid w:val="004C53DD"/>
    <w:rsid w:val="004C5C07"/>
    <w:rsid w:val="004C6149"/>
    <w:rsid w:val="004C6A56"/>
    <w:rsid w:val="004C6C54"/>
    <w:rsid w:val="004C7152"/>
    <w:rsid w:val="004C7283"/>
    <w:rsid w:val="004D08C9"/>
    <w:rsid w:val="004D0E36"/>
    <w:rsid w:val="004D0F9A"/>
    <w:rsid w:val="004D0FA2"/>
    <w:rsid w:val="004D22B5"/>
    <w:rsid w:val="004D2805"/>
    <w:rsid w:val="004D2AFB"/>
    <w:rsid w:val="004D2D7A"/>
    <w:rsid w:val="004D389A"/>
    <w:rsid w:val="004D38E6"/>
    <w:rsid w:val="004D3965"/>
    <w:rsid w:val="004D3D3D"/>
    <w:rsid w:val="004D4386"/>
    <w:rsid w:val="004D4F01"/>
    <w:rsid w:val="004D55F4"/>
    <w:rsid w:val="004D61BA"/>
    <w:rsid w:val="004D6417"/>
    <w:rsid w:val="004D6650"/>
    <w:rsid w:val="004D66CD"/>
    <w:rsid w:val="004D7711"/>
    <w:rsid w:val="004D7A67"/>
    <w:rsid w:val="004E15ED"/>
    <w:rsid w:val="004E3B5B"/>
    <w:rsid w:val="004E401A"/>
    <w:rsid w:val="004E55FA"/>
    <w:rsid w:val="004E5D16"/>
    <w:rsid w:val="004F0ABF"/>
    <w:rsid w:val="004F4351"/>
    <w:rsid w:val="004F49E6"/>
    <w:rsid w:val="004F4D8C"/>
    <w:rsid w:val="004F5193"/>
    <w:rsid w:val="004F5744"/>
    <w:rsid w:val="004F5DAF"/>
    <w:rsid w:val="004F5FA8"/>
    <w:rsid w:val="004F6047"/>
    <w:rsid w:val="004F710C"/>
    <w:rsid w:val="004F7C0E"/>
    <w:rsid w:val="004F7D5A"/>
    <w:rsid w:val="004F7FAA"/>
    <w:rsid w:val="005002AC"/>
    <w:rsid w:val="00500448"/>
    <w:rsid w:val="0050117D"/>
    <w:rsid w:val="00502EA5"/>
    <w:rsid w:val="0050357C"/>
    <w:rsid w:val="0050374B"/>
    <w:rsid w:val="005038BC"/>
    <w:rsid w:val="00503B91"/>
    <w:rsid w:val="00504907"/>
    <w:rsid w:val="005054E3"/>
    <w:rsid w:val="00505AEC"/>
    <w:rsid w:val="00506052"/>
    <w:rsid w:val="005068DB"/>
    <w:rsid w:val="00507306"/>
    <w:rsid w:val="00507801"/>
    <w:rsid w:val="00507CD8"/>
    <w:rsid w:val="00510871"/>
    <w:rsid w:val="00510CBE"/>
    <w:rsid w:val="00511638"/>
    <w:rsid w:val="0051239C"/>
    <w:rsid w:val="005124CD"/>
    <w:rsid w:val="00512881"/>
    <w:rsid w:val="00513A37"/>
    <w:rsid w:val="00514915"/>
    <w:rsid w:val="00515062"/>
    <w:rsid w:val="0051606A"/>
    <w:rsid w:val="005163A6"/>
    <w:rsid w:val="00516979"/>
    <w:rsid w:val="00516C03"/>
    <w:rsid w:val="0052055E"/>
    <w:rsid w:val="005220B9"/>
    <w:rsid w:val="0052254F"/>
    <w:rsid w:val="00522A90"/>
    <w:rsid w:val="005233D9"/>
    <w:rsid w:val="0052395D"/>
    <w:rsid w:val="0052417C"/>
    <w:rsid w:val="0052439F"/>
    <w:rsid w:val="00526BDE"/>
    <w:rsid w:val="005314B2"/>
    <w:rsid w:val="00531FC4"/>
    <w:rsid w:val="00532A75"/>
    <w:rsid w:val="00533064"/>
    <w:rsid w:val="005330C8"/>
    <w:rsid w:val="00533545"/>
    <w:rsid w:val="00534CAF"/>
    <w:rsid w:val="00534E8D"/>
    <w:rsid w:val="005354D1"/>
    <w:rsid w:val="00535975"/>
    <w:rsid w:val="00536441"/>
    <w:rsid w:val="00536779"/>
    <w:rsid w:val="005369AB"/>
    <w:rsid w:val="0053747F"/>
    <w:rsid w:val="00537DF3"/>
    <w:rsid w:val="00540FB4"/>
    <w:rsid w:val="00541635"/>
    <w:rsid w:val="00541638"/>
    <w:rsid w:val="00542763"/>
    <w:rsid w:val="00543308"/>
    <w:rsid w:val="00543429"/>
    <w:rsid w:val="00543BF8"/>
    <w:rsid w:val="0054431B"/>
    <w:rsid w:val="005447AB"/>
    <w:rsid w:val="005447D3"/>
    <w:rsid w:val="00545736"/>
    <w:rsid w:val="00545D5B"/>
    <w:rsid w:val="00545ECE"/>
    <w:rsid w:val="00546B9B"/>
    <w:rsid w:val="00546DD8"/>
    <w:rsid w:val="00546F2A"/>
    <w:rsid w:val="00547F10"/>
    <w:rsid w:val="005501C1"/>
    <w:rsid w:val="00550AC6"/>
    <w:rsid w:val="00550BF3"/>
    <w:rsid w:val="00551AD5"/>
    <w:rsid w:val="00551CC4"/>
    <w:rsid w:val="00552218"/>
    <w:rsid w:val="005526EE"/>
    <w:rsid w:val="00552775"/>
    <w:rsid w:val="00552EEB"/>
    <w:rsid w:val="0055341C"/>
    <w:rsid w:val="005539C9"/>
    <w:rsid w:val="00553EAE"/>
    <w:rsid w:val="00554377"/>
    <w:rsid w:val="0055453E"/>
    <w:rsid w:val="00555151"/>
    <w:rsid w:val="005554A1"/>
    <w:rsid w:val="00555916"/>
    <w:rsid w:val="0055620E"/>
    <w:rsid w:val="005562DB"/>
    <w:rsid w:val="00556DCF"/>
    <w:rsid w:val="0055710E"/>
    <w:rsid w:val="00557322"/>
    <w:rsid w:val="0055780A"/>
    <w:rsid w:val="00557A6C"/>
    <w:rsid w:val="0056055A"/>
    <w:rsid w:val="0056119C"/>
    <w:rsid w:val="00561D46"/>
    <w:rsid w:val="00561F98"/>
    <w:rsid w:val="00564EA5"/>
    <w:rsid w:val="00565568"/>
    <w:rsid w:val="00565C9E"/>
    <w:rsid w:val="00565DF6"/>
    <w:rsid w:val="005702C6"/>
    <w:rsid w:val="005702E9"/>
    <w:rsid w:val="005706C4"/>
    <w:rsid w:val="005707E4"/>
    <w:rsid w:val="005708FC"/>
    <w:rsid w:val="00570B3C"/>
    <w:rsid w:val="00570EAF"/>
    <w:rsid w:val="00571607"/>
    <w:rsid w:val="0057179A"/>
    <w:rsid w:val="0057223B"/>
    <w:rsid w:val="00572D3B"/>
    <w:rsid w:val="005733F0"/>
    <w:rsid w:val="00574809"/>
    <w:rsid w:val="0057480F"/>
    <w:rsid w:val="00574EC3"/>
    <w:rsid w:val="00576478"/>
    <w:rsid w:val="0057680C"/>
    <w:rsid w:val="005770DA"/>
    <w:rsid w:val="005775EB"/>
    <w:rsid w:val="00577ECA"/>
    <w:rsid w:val="005800C7"/>
    <w:rsid w:val="005800DC"/>
    <w:rsid w:val="005802A4"/>
    <w:rsid w:val="0058065A"/>
    <w:rsid w:val="00580AE1"/>
    <w:rsid w:val="00581A9F"/>
    <w:rsid w:val="00582776"/>
    <w:rsid w:val="00582BFB"/>
    <w:rsid w:val="00582DB4"/>
    <w:rsid w:val="00582FF8"/>
    <w:rsid w:val="00583220"/>
    <w:rsid w:val="00583C9E"/>
    <w:rsid w:val="00583DD8"/>
    <w:rsid w:val="00583ECF"/>
    <w:rsid w:val="00584C39"/>
    <w:rsid w:val="00584C61"/>
    <w:rsid w:val="005851B5"/>
    <w:rsid w:val="005859A1"/>
    <w:rsid w:val="0058669D"/>
    <w:rsid w:val="00586FB1"/>
    <w:rsid w:val="00586FB8"/>
    <w:rsid w:val="00587F13"/>
    <w:rsid w:val="005916CB"/>
    <w:rsid w:val="00591C5D"/>
    <w:rsid w:val="00593885"/>
    <w:rsid w:val="00593B13"/>
    <w:rsid w:val="005942F3"/>
    <w:rsid w:val="0059569F"/>
    <w:rsid w:val="00595851"/>
    <w:rsid w:val="00596728"/>
    <w:rsid w:val="00596966"/>
    <w:rsid w:val="005969C4"/>
    <w:rsid w:val="00597D1A"/>
    <w:rsid w:val="00597DEF"/>
    <w:rsid w:val="005A0023"/>
    <w:rsid w:val="005A0027"/>
    <w:rsid w:val="005A0565"/>
    <w:rsid w:val="005A0D35"/>
    <w:rsid w:val="005A0E35"/>
    <w:rsid w:val="005A256B"/>
    <w:rsid w:val="005A26FD"/>
    <w:rsid w:val="005A35A4"/>
    <w:rsid w:val="005A391A"/>
    <w:rsid w:val="005A3A14"/>
    <w:rsid w:val="005A3AFE"/>
    <w:rsid w:val="005A3E4D"/>
    <w:rsid w:val="005A4688"/>
    <w:rsid w:val="005A46EF"/>
    <w:rsid w:val="005A4966"/>
    <w:rsid w:val="005A4B72"/>
    <w:rsid w:val="005A52D7"/>
    <w:rsid w:val="005A574C"/>
    <w:rsid w:val="005A5913"/>
    <w:rsid w:val="005A7220"/>
    <w:rsid w:val="005B012F"/>
    <w:rsid w:val="005B0E47"/>
    <w:rsid w:val="005B164B"/>
    <w:rsid w:val="005B189D"/>
    <w:rsid w:val="005B20CD"/>
    <w:rsid w:val="005B2390"/>
    <w:rsid w:val="005B3A7B"/>
    <w:rsid w:val="005B3B5D"/>
    <w:rsid w:val="005B4F24"/>
    <w:rsid w:val="005B6F11"/>
    <w:rsid w:val="005C0EEF"/>
    <w:rsid w:val="005C1277"/>
    <w:rsid w:val="005C1FBD"/>
    <w:rsid w:val="005C2464"/>
    <w:rsid w:val="005C24C8"/>
    <w:rsid w:val="005C39C8"/>
    <w:rsid w:val="005C444C"/>
    <w:rsid w:val="005C57B4"/>
    <w:rsid w:val="005C60E1"/>
    <w:rsid w:val="005C6283"/>
    <w:rsid w:val="005C662A"/>
    <w:rsid w:val="005C6B25"/>
    <w:rsid w:val="005D01CE"/>
    <w:rsid w:val="005D036E"/>
    <w:rsid w:val="005D0D32"/>
    <w:rsid w:val="005D109C"/>
    <w:rsid w:val="005D170F"/>
    <w:rsid w:val="005D29E8"/>
    <w:rsid w:val="005D2BA4"/>
    <w:rsid w:val="005D2DC8"/>
    <w:rsid w:val="005D36D1"/>
    <w:rsid w:val="005D6231"/>
    <w:rsid w:val="005D63D8"/>
    <w:rsid w:val="005D7131"/>
    <w:rsid w:val="005E00B4"/>
    <w:rsid w:val="005E02A2"/>
    <w:rsid w:val="005E0C1F"/>
    <w:rsid w:val="005E11CA"/>
    <w:rsid w:val="005E2065"/>
    <w:rsid w:val="005E256D"/>
    <w:rsid w:val="005E2FC3"/>
    <w:rsid w:val="005E37CA"/>
    <w:rsid w:val="005E3E0D"/>
    <w:rsid w:val="005E486C"/>
    <w:rsid w:val="005E508B"/>
    <w:rsid w:val="005E51BD"/>
    <w:rsid w:val="005E587F"/>
    <w:rsid w:val="005E5ED7"/>
    <w:rsid w:val="005E6B00"/>
    <w:rsid w:val="005E7609"/>
    <w:rsid w:val="005E7A47"/>
    <w:rsid w:val="005F09B7"/>
    <w:rsid w:val="005F0FE2"/>
    <w:rsid w:val="005F255B"/>
    <w:rsid w:val="005F2CA8"/>
    <w:rsid w:val="005F3169"/>
    <w:rsid w:val="005F4659"/>
    <w:rsid w:val="005F7CB0"/>
    <w:rsid w:val="005F7D90"/>
    <w:rsid w:val="00601C05"/>
    <w:rsid w:val="00601C53"/>
    <w:rsid w:val="00602643"/>
    <w:rsid w:val="00602CE7"/>
    <w:rsid w:val="00602DDA"/>
    <w:rsid w:val="00603FBA"/>
    <w:rsid w:val="00604BC3"/>
    <w:rsid w:val="0060563A"/>
    <w:rsid w:val="006057B3"/>
    <w:rsid w:val="00605C18"/>
    <w:rsid w:val="00606138"/>
    <w:rsid w:val="006074E9"/>
    <w:rsid w:val="00607D16"/>
    <w:rsid w:val="00611207"/>
    <w:rsid w:val="006112E5"/>
    <w:rsid w:val="0061139C"/>
    <w:rsid w:val="00611400"/>
    <w:rsid w:val="00611502"/>
    <w:rsid w:val="00611E24"/>
    <w:rsid w:val="006121E7"/>
    <w:rsid w:val="006126A6"/>
    <w:rsid w:val="0061359E"/>
    <w:rsid w:val="00613CB2"/>
    <w:rsid w:val="00613D62"/>
    <w:rsid w:val="00614B1B"/>
    <w:rsid w:val="006157A0"/>
    <w:rsid w:val="00616A2B"/>
    <w:rsid w:val="00617379"/>
    <w:rsid w:val="006173FC"/>
    <w:rsid w:val="006178AE"/>
    <w:rsid w:val="00620D96"/>
    <w:rsid w:val="00620DCC"/>
    <w:rsid w:val="00620E49"/>
    <w:rsid w:val="00621DBE"/>
    <w:rsid w:val="006223D9"/>
    <w:rsid w:val="00622E1D"/>
    <w:rsid w:val="00622E89"/>
    <w:rsid w:val="0062319C"/>
    <w:rsid w:val="006244EF"/>
    <w:rsid w:val="00625219"/>
    <w:rsid w:val="00626ACD"/>
    <w:rsid w:val="006277F5"/>
    <w:rsid w:val="006278A0"/>
    <w:rsid w:val="006317F0"/>
    <w:rsid w:val="00631AEB"/>
    <w:rsid w:val="00631D75"/>
    <w:rsid w:val="00631EEA"/>
    <w:rsid w:val="00632AA4"/>
    <w:rsid w:val="006330CE"/>
    <w:rsid w:val="00633641"/>
    <w:rsid w:val="00633A4F"/>
    <w:rsid w:val="0063485A"/>
    <w:rsid w:val="0063604D"/>
    <w:rsid w:val="00637C16"/>
    <w:rsid w:val="00641580"/>
    <w:rsid w:val="0064159A"/>
    <w:rsid w:val="00641AFE"/>
    <w:rsid w:val="00642222"/>
    <w:rsid w:val="0064238B"/>
    <w:rsid w:val="006423DF"/>
    <w:rsid w:val="00643B2E"/>
    <w:rsid w:val="00644448"/>
    <w:rsid w:val="006444C2"/>
    <w:rsid w:val="00646475"/>
    <w:rsid w:val="00646C74"/>
    <w:rsid w:val="00647104"/>
    <w:rsid w:val="00647AD5"/>
    <w:rsid w:val="00651E87"/>
    <w:rsid w:val="0065246F"/>
    <w:rsid w:val="00652D02"/>
    <w:rsid w:val="00652EB6"/>
    <w:rsid w:val="00653064"/>
    <w:rsid w:val="00654125"/>
    <w:rsid w:val="006542A9"/>
    <w:rsid w:val="006547DA"/>
    <w:rsid w:val="00654EB0"/>
    <w:rsid w:val="006553B7"/>
    <w:rsid w:val="00655A14"/>
    <w:rsid w:val="006564BD"/>
    <w:rsid w:val="006565CF"/>
    <w:rsid w:val="00657445"/>
    <w:rsid w:val="00657BCF"/>
    <w:rsid w:val="00657C5D"/>
    <w:rsid w:val="0066095B"/>
    <w:rsid w:val="006610A1"/>
    <w:rsid w:val="0066179F"/>
    <w:rsid w:val="00661C77"/>
    <w:rsid w:val="00662B1C"/>
    <w:rsid w:val="00662D1E"/>
    <w:rsid w:val="00662DDC"/>
    <w:rsid w:val="00663E82"/>
    <w:rsid w:val="00663EEB"/>
    <w:rsid w:val="00663EFE"/>
    <w:rsid w:val="00664831"/>
    <w:rsid w:val="00664DB7"/>
    <w:rsid w:val="0066580D"/>
    <w:rsid w:val="0066588D"/>
    <w:rsid w:val="00665A5D"/>
    <w:rsid w:val="00665E56"/>
    <w:rsid w:val="00665F74"/>
    <w:rsid w:val="00666116"/>
    <w:rsid w:val="00666BB7"/>
    <w:rsid w:val="00666BC7"/>
    <w:rsid w:val="00666D53"/>
    <w:rsid w:val="00666E6E"/>
    <w:rsid w:val="00667E7B"/>
    <w:rsid w:val="00671348"/>
    <w:rsid w:val="00671418"/>
    <w:rsid w:val="00671D66"/>
    <w:rsid w:val="0067209E"/>
    <w:rsid w:val="00672A0F"/>
    <w:rsid w:val="00672E7E"/>
    <w:rsid w:val="00673ADE"/>
    <w:rsid w:val="00673FC1"/>
    <w:rsid w:val="00675F31"/>
    <w:rsid w:val="006760A7"/>
    <w:rsid w:val="00677155"/>
    <w:rsid w:val="00677385"/>
    <w:rsid w:val="0067766F"/>
    <w:rsid w:val="006777D0"/>
    <w:rsid w:val="00677A7B"/>
    <w:rsid w:val="00680087"/>
    <w:rsid w:val="00680210"/>
    <w:rsid w:val="00680AFA"/>
    <w:rsid w:val="00680EC5"/>
    <w:rsid w:val="00681A0D"/>
    <w:rsid w:val="00681B4A"/>
    <w:rsid w:val="00681F8E"/>
    <w:rsid w:val="00683146"/>
    <w:rsid w:val="006839D3"/>
    <w:rsid w:val="00683DE1"/>
    <w:rsid w:val="0068400D"/>
    <w:rsid w:val="00684A0E"/>
    <w:rsid w:val="00684B26"/>
    <w:rsid w:val="00684BFC"/>
    <w:rsid w:val="006851B6"/>
    <w:rsid w:val="006862C0"/>
    <w:rsid w:val="00687003"/>
    <w:rsid w:val="00687FD9"/>
    <w:rsid w:val="00690677"/>
    <w:rsid w:val="006907E3"/>
    <w:rsid w:val="00690919"/>
    <w:rsid w:val="006921AD"/>
    <w:rsid w:val="00692447"/>
    <w:rsid w:val="006938C8"/>
    <w:rsid w:val="006945D3"/>
    <w:rsid w:val="0069662F"/>
    <w:rsid w:val="00696904"/>
    <w:rsid w:val="00696D86"/>
    <w:rsid w:val="006972DC"/>
    <w:rsid w:val="006975F0"/>
    <w:rsid w:val="00697776"/>
    <w:rsid w:val="006A0193"/>
    <w:rsid w:val="006A07B9"/>
    <w:rsid w:val="006A140D"/>
    <w:rsid w:val="006A1515"/>
    <w:rsid w:val="006A27A6"/>
    <w:rsid w:val="006A2F17"/>
    <w:rsid w:val="006A423D"/>
    <w:rsid w:val="006A6DA5"/>
    <w:rsid w:val="006A70C6"/>
    <w:rsid w:val="006A7723"/>
    <w:rsid w:val="006A7DAD"/>
    <w:rsid w:val="006B0A40"/>
    <w:rsid w:val="006B1F36"/>
    <w:rsid w:val="006B207F"/>
    <w:rsid w:val="006B2317"/>
    <w:rsid w:val="006B33F3"/>
    <w:rsid w:val="006B4EEB"/>
    <w:rsid w:val="006B5088"/>
    <w:rsid w:val="006B5414"/>
    <w:rsid w:val="006B5510"/>
    <w:rsid w:val="006B5A8E"/>
    <w:rsid w:val="006B6026"/>
    <w:rsid w:val="006B61B3"/>
    <w:rsid w:val="006B6FC4"/>
    <w:rsid w:val="006B705F"/>
    <w:rsid w:val="006B75B0"/>
    <w:rsid w:val="006B76CA"/>
    <w:rsid w:val="006B7701"/>
    <w:rsid w:val="006B7DCD"/>
    <w:rsid w:val="006C069D"/>
    <w:rsid w:val="006C21BE"/>
    <w:rsid w:val="006C44F5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3AD9"/>
    <w:rsid w:val="006D3C60"/>
    <w:rsid w:val="006D3FE6"/>
    <w:rsid w:val="006D4B43"/>
    <w:rsid w:val="006D5643"/>
    <w:rsid w:val="006D5BBE"/>
    <w:rsid w:val="006D655F"/>
    <w:rsid w:val="006D67CB"/>
    <w:rsid w:val="006D681B"/>
    <w:rsid w:val="006D69A5"/>
    <w:rsid w:val="006D6A08"/>
    <w:rsid w:val="006D6AB4"/>
    <w:rsid w:val="006D6AC4"/>
    <w:rsid w:val="006D7661"/>
    <w:rsid w:val="006D76F0"/>
    <w:rsid w:val="006D7B79"/>
    <w:rsid w:val="006D7B8B"/>
    <w:rsid w:val="006E046D"/>
    <w:rsid w:val="006E051F"/>
    <w:rsid w:val="006E0ADA"/>
    <w:rsid w:val="006E0CE2"/>
    <w:rsid w:val="006E0E36"/>
    <w:rsid w:val="006E1A9C"/>
    <w:rsid w:val="006E208A"/>
    <w:rsid w:val="006E21EA"/>
    <w:rsid w:val="006E256F"/>
    <w:rsid w:val="006E332C"/>
    <w:rsid w:val="006E37B6"/>
    <w:rsid w:val="006E42B1"/>
    <w:rsid w:val="006E4404"/>
    <w:rsid w:val="006E46CC"/>
    <w:rsid w:val="006E5205"/>
    <w:rsid w:val="006E6B48"/>
    <w:rsid w:val="006E6DED"/>
    <w:rsid w:val="006E70D5"/>
    <w:rsid w:val="006E7BBB"/>
    <w:rsid w:val="006F00C8"/>
    <w:rsid w:val="006F04A6"/>
    <w:rsid w:val="006F0C24"/>
    <w:rsid w:val="006F1B74"/>
    <w:rsid w:val="006F206E"/>
    <w:rsid w:val="006F2679"/>
    <w:rsid w:val="006F286B"/>
    <w:rsid w:val="006F2DFC"/>
    <w:rsid w:val="006F3845"/>
    <w:rsid w:val="006F3BFC"/>
    <w:rsid w:val="006F3EED"/>
    <w:rsid w:val="006F454A"/>
    <w:rsid w:val="006F4AA3"/>
    <w:rsid w:val="006F5A5C"/>
    <w:rsid w:val="006F68C6"/>
    <w:rsid w:val="006F7C58"/>
    <w:rsid w:val="00700C90"/>
    <w:rsid w:val="007013FE"/>
    <w:rsid w:val="00701449"/>
    <w:rsid w:val="007015A3"/>
    <w:rsid w:val="00701B1F"/>
    <w:rsid w:val="00703ED8"/>
    <w:rsid w:val="00704426"/>
    <w:rsid w:val="00704862"/>
    <w:rsid w:val="00705E36"/>
    <w:rsid w:val="00706137"/>
    <w:rsid w:val="00706359"/>
    <w:rsid w:val="00706371"/>
    <w:rsid w:val="007077A6"/>
    <w:rsid w:val="00710364"/>
    <w:rsid w:val="00710414"/>
    <w:rsid w:val="00710C55"/>
    <w:rsid w:val="00710F72"/>
    <w:rsid w:val="00712A38"/>
    <w:rsid w:val="00712C20"/>
    <w:rsid w:val="007134BC"/>
    <w:rsid w:val="007136D5"/>
    <w:rsid w:val="00713A5D"/>
    <w:rsid w:val="00713D72"/>
    <w:rsid w:val="007143F4"/>
    <w:rsid w:val="007147F6"/>
    <w:rsid w:val="00714D3B"/>
    <w:rsid w:val="00715104"/>
    <w:rsid w:val="00715AC8"/>
    <w:rsid w:val="007163C3"/>
    <w:rsid w:val="00716408"/>
    <w:rsid w:val="007165CA"/>
    <w:rsid w:val="00716D4A"/>
    <w:rsid w:val="00717573"/>
    <w:rsid w:val="00717D30"/>
    <w:rsid w:val="007206E7"/>
    <w:rsid w:val="00721389"/>
    <w:rsid w:val="007214D0"/>
    <w:rsid w:val="00722820"/>
    <w:rsid w:val="007237F8"/>
    <w:rsid w:val="0072436F"/>
    <w:rsid w:val="00724E12"/>
    <w:rsid w:val="0072691C"/>
    <w:rsid w:val="00726D32"/>
    <w:rsid w:val="00726DDE"/>
    <w:rsid w:val="00727129"/>
    <w:rsid w:val="00730302"/>
    <w:rsid w:val="007313B4"/>
    <w:rsid w:val="007315DB"/>
    <w:rsid w:val="00732E5D"/>
    <w:rsid w:val="00734347"/>
    <w:rsid w:val="007348AB"/>
    <w:rsid w:val="007349C4"/>
    <w:rsid w:val="00734B38"/>
    <w:rsid w:val="0073535B"/>
    <w:rsid w:val="00735F80"/>
    <w:rsid w:val="00736043"/>
    <w:rsid w:val="00740314"/>
    <w:rsid w:val="00740CC6"/>
    <w:rsid w:val="00741983"/>
    <w:rsid w:val="00741BF6"/>
    <w:rsid w:val="007424BC"/>
    <w:rsid w:val="00742628"/>
    <w:rsid w:val="007428AE"/>
    <w:rsid w:val="007440AD"/>
    <w:rsid w:val="007441BC"/>
    <w:rsid w:val="007449FA"/>
    <w:rsid w:val="00745F18"/>
    <w:rsid w:val="00746A0C"/>
    <w:rsid w:val="00747106"/>
    <w:rsid w:val="007479DE"/>
    <w:rsid w:val="007515CC"/>
    <w:rsid w:val="00752F9F"/>
    <w:rsid w:val="00753AE3"/>
    <w:rsid w:val="00753BF1"/>
    <w:rsid w:val="00753D93"/>
    <w:rsid w:val="00753F70"/>
    <w:rsid w:val="007547B6"/>
    <w:rsid w:val="00754883"/>
    <w:rsid w:val="00754AE9"/>
    <w:rsid w:val="00754BE9"/>
    <w:rsid w:val="00755723"/>
    <w:rsid w:val="007562A2"/>
    <w:rsid w:val="00756982"/>
    <w:rsid w:val="00757066"/>
    <w:rsid w:val="0075762D"/>
    <w:rsid w:val="007617C9"/>
    <w:rsid w:val="00761CC0"/>
    <w:rsid w:val="00761EF0"/>
    <w:rsid w:val="00763B49"/>
    <w:rsid w:val="0076403C"/>
    <w:rsid w:val="00765760"/>
    <w:rsid w:val="00766400"/>
    <w:rsid w:val="007667D1"/>
    <w:rsid w:val="00767490"/>
    <w:rsid w:val="007674D7"/>
    <w:rsid w:val="007678F0"/>
    <w:rsid w:val="00767DB4"/>
    <w:rsid w:val="00770280"/>
    <w:rsid w:val="0077035A"/>
    <w:rsid w:val="00770749"/>
    <w:rsid w:val="00770F47"/>
    <w:rsid w:val="00772404"/>
    <w:rsid w:val="007729FC"/>
    <w:rsid w:val="007738FC"/>
    <w:rsid w:val="007739C2"/>
    <w:rsid w:val="007739FE"/>
    <w:rsid w:val="0077409F"/>
    <w:rsid w:val="00774379"/>
    <w:rsid w:val="007746ED"/>
    <w:rsid w:val="00774B76"/>
    <w:rsid w:val="00775A61"/>
    <w:rsid w:val="00775A66"/>
    <w:rsid w:val="007762EB"/>
    <w:rsid w:val="00776F35"/>
    <w:rsid w:val="00777547"/>
    <w:rsid w:val="00777853"/>
    <w:rsid w:val="00777B21"/>
    <w:rsid w:val="00780AD1"/>
    <w:rsid w:val="00781FFA"/>
    <w:rsid w:val="0078209A"/>
    <w:rsid w:val="00782785"/>
    <w:rsid w:val="00782992"/>
    <w:rsid w:val="00782DDE"/>
    <w:rsid w:val="00782FA5"/>
    <w:rsid w:val="007831A0"/>
    <w:rsid w:val="00783866"/>
    <w:rsid w:val="00783D22"/>
    <w:rsid w:val="00784416"/>
    <w:rsid w:val="0078778C"/>
    <w:rsid w:val="007904CF"/>
    <w:rsid w:val="00790C63"/>
    <w:rsid w:val="0079191A"/>
    <w:rsid w:val="00792134"/>
    <w:rsid w:val="00792580"/>
    <w:rsid w:val="00792D5D"/>
    <w:rsid w:val="00794120"/>
    <w:rsid w:val="00795395"/>
    <w:rsid w:val="00796200"/>
    <w:rsid w:val="00796DC4"/>
    <w:rsid w:val="007972A2"/>
    <w:rsid w:val="00797426"/>
    <w:rsid w:val="007A026B"/>
    <w:rsid w:val="007A0ECB"/>
    <w:rsid w:val="007A1811"/>
    <w:rsid w:val="007A2011"/>
    <w:rsid w:val="007A21A4"/>
    <w:rsid w:val="007A5668"/>
    <w:rsid w:val="007A574F"/>
    <w:rsid w:val="007A5BA2"/>
    <w:rsid w:val="007A608A"/>
    <w:rsid w:val="007A712C"/>
    <w:rsid w:val="007A7A89"/>
    <w:rsid w:val="007A7CBB"/>
    <w:rsid w:val="007A7D1D"/>
    <w:rsid w:val="007B090B"/>
    <w:rsid w:val="007B0E37"/>
    <w:rsid w:val="007B280A"/>
    <w:rsid w:val="007B3351"/>
    <w:rsid w:val="007B3B74"/>
    <w:rsid w:val="007B41AB"/>
    <w:rsid w:val="007B4C84"/>
    <w:rsid w:val="007B4F7A"/>
    <w:rsid w:val="007B5FCB"/>
    <w:rsid w:val="007B6035"/>
    <w:rsid w:val="007B69BB"/>
    <w:rsid w:val="007B6B69"/>
    <w:rsid w:val="007B7172"/>
    <w:rsid w:val="007C07C2"/>
    <w:rsid w:val="007C0C82"/>
    <w:rsid w:val="007C179D"/>
    <w:rsid w:val="007C27E2"/>
    <w:rsid w:val="007C2A10"/>
    <w:rsid w:val="007C3020"/>
    <w:rsid w:val="007C406B"/>
    <w:rsid w:val="007C4253"/>
    <w:rsid w:val="007C487B"/>
    <w:rsid w:val="007C52C0"/>
    <w:rsid w:val="007C5485"/>
    <w:rsid w:val="007C5B0F"/>
    <w:rsid w:val="007C6F69"/>
    <w:rsid w:val="007C7698"/>
    <w:rsid w:val="007D2924"/>
    <w:rsid w:val="007D3037"/>
    <w:rsid w:val="007D3965"/>
    <w:rsid w:val="007D3FFE"/>
    <w:rsid w:val="007D500C"/>
    <w:rsid w:val="007D6328"/>
    <w:rsid w:val="007D66AF"/>
    <w:rsid w:val="007D7D30"/>
    <w:rsid w:val="007E12EE"/>
    <w:rsid w:val="007E15A4"/>
    <w:rsid w:val="007E1F08"/>
    <w:rsid w:val="007E1F52"/>
    <w:rsid w:val="007E22A6"/>
    <w:rsid w:val="007E238E"/>
    <w:rsid w:val="007E23BA"/>
    <w:rsid w:val="007E24B9"/>
    <w:rsid w:val="007E2652"/>
    <w:rsid w:val="007E41CE"/>
    <w:rsid w:val="007E513F"/>
    <w:rsid w:val="007E55B5"/>
    <w:rsid w:val="007E55F7"/>
    <w:rsid w:val="007E56A7"/>
    <w:rsid w:val="007E5C58"/>
    <w:rsid w:val="007E63EA"/>
    <w:rsid w:val="007E6D65"/>
    <w:rsid w:val="007E7192"/>
    <w:rsid w:val="007F0DBC"/>
    <w:rsid w:val="007F1075"/>
    <w:rsid w:val="007F2493"/>
    <w:rsid w:val="007F2E62"/>
    <w:rsid w:val="007F3F5D"/>
    <w:rsid w:val="007F402E"/>
    <w:rsid w:val="007F4B63"/>
    <w:rsid w:val="007F5238"/>
    <w:rsid w:val="007F58F4"/>
    <w:rsid w:val="007F5DEA"/>
    <w:rsid w:val="007F5FD8"/>
    <w:rsid w:val="007F6264"/>
    <w:rsid w:val="007F6274"/>
    <w:rsid w:val="007F6C23"/>
    <w:rsid w:val="007F7777"/>
    <w:rsid w:val="008005AC"/>
    <w:rsid w:val="00801BF9"/>
    <w:rsid w:val="00801D9B"/>
    <w:rsid w:val="00801E3F"/>
    <w:rsid w:val="008029CC"/>
    <w:rsid w:val="0080325B"/>
    <w:rsid w:val="008041F5"/>
    <w:rsid w:val="008042E3"/>
    <w:rsid w:val="00804A84"/>
    <w:rsid w:val="00804BBE"/>
    <w:rsid w:val="00804EEA"/>
    <w:rsid w:val="008058D5"/>
    <w:rsid w:val="008062D3"/>
    <w:rsid w:val="00807C34"/>
    <w:rsid w:val="00807CC7"/>
    <w:rsid w:val="00810067"/>
    <w:rsid w:val="008105EF"/>
    <w:rsid w:val="00810941"/>
    <w:rsid w:val="00810FE4"/>
    <w:rsid w:val="0081119D"/>
    <w:rsid w:val="00811B29"/>
    <w:rsid w:val="00811EA7"/>
    <w:rsid w:val="00813640"/>
    <w:rsid w:val="00813CDA"/>
    <w:rsid w:val="00813F24"/>
    <w:rsid w:val="00814036"/>
    <w:rsid w:val="00814E96"/>
    <w:rsid w:val="0081551C"/>
    <w:rsid w:val="008167B0"/>
    <w:rsid w:val="0081706C"/>
    <w:rsid w:val="008177CF"/>
    <w:rsid w:val="00817D5D"/>
    <w:rsid w:val="0082086F"/>
    <w:rsid w:val="00821E07"/>
    <w:rsid w:val="0082202B"/>
    <w:rsid w:val="00822040"/>
    <w:rsid w:val="0082348F"/>
    <w:rsid w:val="0082389E"/>
    <w:rsid w:val="00823C8A"/>
    <w:rsid w:val="00823D3A"/>
    <w:rsid w:val="008250E9"/>
    <w:rsid w:val="00825661"/>
    <w:rsid w:val="00825F81"/>
    <w:rsid w:val="00825FFB"/>
    <w:rsid w:val="00826629"/>
    <w:rsid w:val="00826B74"/>
    <w:rsid w:val="00827101"/>
    <w:rsid w:val="00827541"/>
    <w:rsid w:val="00827B6C"/>
    <w:rsid w:val="00827F6D"/>
    <w:rsid w:val="00830177"/>
    <w:rsid w:val="00830897"/>
    <w:rsid w:val="008308B4"/>
    <w:rsid w:val="00831142"/>
    <w:rsid w:val="0083344B"/>
    <w:rsid w:val="00834422"/>
    <w:rsid w:val="00834EF1"/>
    <w:rsid w:val="008353A3"/>
    <w:rsid w:val="00835476"/>
    <w:rsid w:val="008354F7"/>
    <w:rsid w:val="00836480"/>
    <w:rsid w:val="00836A86"/>
    <w:rsid w:val="00836F18"/>
    <w:rsid w:val="008372C8"/>
    <w:rsid w:val="0083756E"/>
    <w:rsid w:val="00842324"/>
    <w:rsid w:val="00843DF4"/>
    <w:rsid w:val="00843E00"/>
    <w:rsid w:val="00844850"/>
    <w:rsid w:val="008450CC"/>
    <w:rsid w:val="008454EE"/>
    <w:rsid w:val="00845823"/>
    <w:rsid w:val="0084673E"/>
    <w:rsid w:val="00847167"/>
    <w:rsid w:val="008474BC"/>
    <w:rsid w:val="008501FE"/>
    <w:rsid w:val="00850B9B"/>
    <w:rsid w:val="008511A0"/>
    <w:rsid w:val="008511AE"/>
    <w:rsid w:val="00852305"/>
    <w:rsid w:val="008534FF"/>
    <w:rsid w:val="00854460"/>
    <w:rsid w:val="00854C64"/>
    <w:rsid w:val="008552CF"/>
    <w:rsid w:val="008554A6"/>
    <w:rsid w:val="0085570C"/>
    <w:rsid w:val="0085597B"/>
    <w:rsid w:val="00855C17"/>
    <w:rsid w:val="008569FA"/>
    <w:rsid w:val="00856CF2"/>
    <w:rsid w:val="00856EED"/>
    <w:rsid w:val="00856FEA"/>
    <w:rsid w:val="00857D61"/>
    <w:rsid w:val="00857DF9"/>
    <w:rsid w:val="00857EDE"/>
    <w:rsid w:val="008600CB"/>
    <w:rsid w:val="008600ED"/>
    <w:rsid w:val="00860AE8"/>
    <w:rsid w:val="0086109B"/>
    <w:rsid w:val="008613FC"/>
    <w:rsid w:val="00862A9F"/>
    <w:rsid w:val="00864206"/>
    <w:rsid w:val="00864AB6"/>
    <w:rsid w:val="00864F1F"/>
    <w:rsid w:val="008654A8"/>
    <w:rsid w:val="0086666F"/>
    <w:rsid w:val="00866ED1"/>
    <w:rsid w:val="008679FA"/>
    <w:rsid w:val="00870A82"/>
    <w:rsid w:val="00871CB7"/>
    <w:rsid w:val="00872039"/>
    <w:rsid w:val="00872C56"/>
    <w:rsid w:val="00872EEB"/>
    <w:rsid w:val="00873753"/>
    <w:rsid w:val="00873C1D"/>
    <w:rsid w:val="008743DE"/>
    <w:rsid w:val="008756B9"/>
    <w:rsid w:val="00876F22"/>
    <w:rsid w:val="008777D5"/>
    <w:rsid w:val="008800CE"/>
    <w:rsid w:val="008806EE"/>
    <w:rsid w:val="00880861"/>
    <w:rsid w:val="00880D23"/>
    <w:rsid w:val="008818F2"/>
    <w:rsid w:val="008821C3"/>
    <w:rsid w:val="00882CE8"/>
    <w:rsid w:val="0088333D"/>
    <w:rsid w:val="00883B7F"/>
    <w:rsid w:val="008840E4"/>
    <w:rsid w:val="00884F45"/>
    <w:rsid w:val="00886200"/>
    <w:rsid w:val="008865CE"/>
    <w:rsid w:val="00886635"/>
    <w:rsid w:val="008872D5"/>
    <w:rsid w:val="00887B38"/>
    <w:rsid w:val="00887CF0"/>
    <w:rsid w:val="00890AD9"/>
    <w:rsid w:val="008917C4"/>
    <w:rsid w:val="00891912"/>
    <w:rsid w:val="00894205"/>
    <w:rsid w:val="00894A89"/>
    <w:rsid w:val="0089530A"/>
    <w:rsid w:val="0089741F"/>
    <w:rsid w:val="00897B16"/>
    <w:rsid w:val="008A059F"/>
    <w:rsid w:val="008A1A98"/>
    <w:rsid w:val="008A1C1D"/>
    <w:rsid w:val="008A1C47"/>
    <w:rsid w:val="008A1CF8"/>
    <w:rsid w:val="008A1E6B"/>
    <w:rsid w:val="008A1FA6"/>
    <w:rsid w:val="008A21AD"/>
    <w:rsid w:val="008A24E1"/>
    <w:rsid w:val="008A2CED"/>
    <w:rsid w:val="008A2EDC"/>
    <w:rsid w:val="008A320B"/>
    <w:rsid w:val="008A4608"/>
    <w:rsid w:val="008A52C9"/>
    <w:rsid w:val="008A53F3"/>
    <w:rsid w:val="008A5CAB"/>
    <w:rsid w:val="008A60F8"/>
    <w:rsid w:val="008A64E3"/>
    <w:rsid w:val="008A6CD2"/>
    <w:rsid w:val="008A7121"/>
    <w:rsid w:val="008B0019"/>
    <w:rsid w:val="008B002B"/>
    <w:rsid w:val="008B02D8"/>
    <w:rsid w:val="008B13DD"/>
    <w:rsid w:val="008B1402"/>
    <w:rsid w:val="008B1470"/>
    <w:rsid w:val="008B165B"/>
    <w:rsid w:val="008B2F63"/>
    <w:rsid w:val="008B35D8"/>
    <w:rsid w:val="008B3A1C"/>
    <w:rsid w:val="008B59AD"/>
    <w:rsid w:val="008B7BC4"/>
    <w:rsid w:val="008B7D5A"/>
    <w:rsid w:val="008B7EE2"/>
    <w:rsid w:val="008C055A"/>
    <w:rsid w:val="008C0A9C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49D2"/>
    <w:rsid w:val="008C536D"/>
    <w:rsid w:val="008C5EBC"/>
    <w:rsid w:val="008C70E9"/>
    <w:rsid w:val="008C712D"/>
    <w:rsid w:val="008D0BB7"/>
    <w:rsid w:val="008D18B0"/>
    <w:rsid w:val="008D1F94"/>
    <w:rsid w:val="008D1FEB"/>
    <w:rsid w:val="008D2316"/>
    <w:rsid w:val="008D2867"/>
    <w:rsid w:val="008D2DE5"/>
    <w:rsid w:val="008D32A3"/>
    <w:rsid w:val="008D3A30"/>
    <w:rsid w:val="008D41B7"/>
    <w:rsid w:val="008D4837"/>
    <w:rsid w:val="008D536A"/>
    <w:rsid w:val="008D5477"/>
    <w:rsid w:val="008D5A40"/>
    <w:rsid w:val="008D6616"/>
    <w:rsid w:val="008D70C3"/>
    <w:rsid w:val="008D79CD"/>
    <w:rsid w:val="008E026A"/>
    <w:rsid w:val="008E03DE"/>
    <w:rsid w:val="008E10FD"/>
    <w:rsid w:val="008E1CBA"/>
    <w:rsid w:val="008E1CFD"/>
    <w:rsid w:val="008E2949"/>
    <w:rsid w:val="008E4890"/>
    <w:rsid w:val="008E5625"/>
    <w:rsid w:val="008E5DBC"/>
    <w:rsid w:val="008E6D19"/>
    <w:rsid w:val="008E6D77"/>
    <w:rsid w:val="008E6F0F"/>
    <w:rsid w:val="008E7B0E"/>
    <w:rsid w:val="008F1086"/>
    <w:rsid w:val="008F2A3E"/>
    <w:rsid w:val="008F2FC5"/>
    <w:rsid w:val="008F3657"/>
    <w:rsid w:val="008F3999"/>
    <w:rsid w:val="008F3F67"/>
    <w:rsid w:val="008F3F6B"/>
    <w:rsid w:val="008F40B6"/>
    <w:rsid w:val="008F45D8"/>
    <w:rsid w:val="008F4761"/>
    <w:rsid w:val="008F527A"/>
    <w:rsid w:val="008F577F"/>
    <w:rsid w:val="008F5FD0"/>
    <w:rsid w:val="008F644A"/>
    <w:rsid w:val="008F75FA"/>
    <w:rsid w:val="00900697"/>
    <w:rsid w:val="009007DA"/>
    <w:rsid w:val="00901125"/>
    <w:rsid w:val="00901172"/>
    <w:rsid w:val="0090197C"/>
    <w:rsid w:val="00901FA3"/>
    <w:rsid w:val="009035F3"/>
    <w:rsid w:val="00903DBB"/>
    <w:rsid w:val="00903DD2"/>
    <w:rsid w:val="00903EA0"/>
    <w:rsid w:val="0090609F"/>
    <w:rsid w:val="00906662"/>
    <w:rsid w:val="009070C0"/>
    <w:rsid w:val="0090795D"/>
    <w:rsid w:val="009101AD"/>
    <w:rsid w:val="00910BCF"/>
    <w:rsid w:val="009113C0"/>
    <w:rsid w:val="0091250E"/>
    <w:rsid w:val="00912C28"/>
    <w:rsid w:val="009155EC"/>
    <w:rsid w:val="0091599D"/>
    <w:rsid w:val="00915C4A"/>
    <w:rsid w:val="00916057"/>
    <w:rsid w:val="00916BB1"/>
    <w:rsid w:val="00917D70"/>
    <w:rsid w:val="00920856"/>
    <w:rsid w:val="00921439"/>
    <w:rsid w:val="009215E3"/>
    <w:rsid w:val="00922071"/>
    <w:rsid w:val="00923893"/>
    <w:rsid w:val="009245C3"/>
    <w:rsid w:val="00924EBB"/>
    <w:rsid w:val="009250F4"/>
    <w:rsid w:val="00926841"/>
    <w:rsid w:val="00926D27"/>
    <w:rsid w:val="009274E3"/>
    <w:rsid w:val="00927887"/>
    <w:rsid w:val="009301E9"/>
    <w:rsid w:val="00930E41"/>
    <w:rsid w:val="00930E46"/>
    <w:rsid w:val="0093176F"/>
    <w:rsid w:val="00931A56"/>
    <w:rsid w:val="00932055"/>
    <w:rsid w:val="009320A9"/>
    <w:rsid w:val="00932422"/>
    <w:rsid w:val="0093246A"/>
    <w:rsid w:val="00932E9B"/>
    <w:rsid w:val="009331D1"/>
    <w:rsid w:val="00934A26"/>
    <w:rsid w:val="009374C3"/>
    <w:rsid w:val="00941540"/>
    <w:rsid w:val="009420AE"/>
    <w:rsid w:val="009428A8"/>
    <w:rsid w:val="00943C9D"/>
    <w:rsid w:val="00944D45"/>
    <w:rsid w:val="00944E10"/>
    <w:rsid w:val="009453CC"/>
    <w:rsid w:val="00945429"/>
    <w:rsid w:val="009461F1"/>
    <w:rsid w:val="00947CA0"/>
    <w:rsid w:val="00951828"/>
    <w:rsid w:val="0095274A"/>
    <w:rsid w:val="009529E8"/>
    <w:rsid w:val="00952B83"/>
    <w:rsid w:val="0095449E"/>
    <w:rsid w:val="00954E2A"/>
    <w:rsid w:val="009578FF"/>
    <w:rsid w:val="00957A65"/>
    <w:rsid w:val="009603E6"/>
    <w:rsid w:val="009605E8"/>
    <w:rsid w:val="00961DBC"/>
    <w:rsid w:val="00961EDF"/>
    <w:rsid w:val="009628D2"/>
    <w:rsid w:val="00963EFD"/>
    <w:rsid w:val="00963FF6"/>
    <w:rsid w:val="0096429C"/>
    <w:rsid w:val="00964B29"/>
    <w:rsid w:val="00966C79"/>
    <w:rsid w:val="0096727C"/>
    <w:rsid w:val="00967A54"/>
    <w:rsid w:val="00967EB8"/>
    <w:rsid w:val="00970657"/>
    <w:rsid w:val="00970FE8"/>
    <w:rsid w:val="009715E6"/>
    <w:rsid w:val="009719BB"/>
    <w:rsid w:val="00971A61"/>
    <w:rsid w:val="00972169"/>
    <w:rsid w:val="0097282D"/>
    <w:rsid w:val="00973A16"/>
    <w:rsid w:val="0097479B"/>
    <w:rsid w:val="00974983"/>
    <w:rsid w:val="009755B5"/>
    <w:rsid w:val="00975891"/>
    <w:rsid w:val="00975F07"/>
    <w:rsid w:val="009767B5"/>
    <w:rsid w:val="00976F38"/>
    <w:rsid w:val="0097709A"/>
    <w:rsid w:val="00977109"/>
    <w:rsid w:val="00977361"/>
    <w:rsid w:val="00977742"/>
    <w:rsid w:val="00977C47"/>
    <w:rsid w:val="0098022D"/>
    <w:rsid w:val="00980496"/>
    <w:rsid w:val="00980CBF"/>
    <w:rsid w:val="00981013"/>
    <w:rsid w:val="0098167C"/>
    <w:rsid w:val="009819E5"/>
    <w:rsid w:val="00981E8C"/>
    <w:rsid w:val="00982059"/>
    <w:rsid w:val="009827EB"/>
    <w:rsid w:val="0098363A"/>
    <w:rsid w:val="00983E10"/>
    <w:rsid w:val="00985087"/>
    <w:rsid w:val="009851E5"/>
    <w:rsid w:val="009857E7"/>
    <w:rsid w:val="00985806"/>
    <w:rsid w:val="00985B38"/>
    <w:rsid w:val="00985BA9"/>
    <w:rsid w:val="009869E9"/>
    <w:rsid w:val="00986ABA"/>
    <w:rsid w:val="009870C8"/>
    <w:rsid w:val="00987425"/>
    <w:rsid w:val="00987998"/>
    <w:rsid w:val="00990AA8"/>
    <w:rsid w:val="009919F4"/>
    <w:rsid w:val="00991B3F"/>
    <w:rsid w:val="00991D28"/>
    <w:rsid w:val="009924AA"/>
    <w:rsid w:val="00993B03"/>
    <w:rsid w:val="009949E3"/>
    <w:rsid w:val="00994F9A"/>
    <w:rsid w:val="0099550D"/>
    <w:rsid w:val="00996402"/>
    <w:rsid w:val="00996563"/>
    <w:rsid w:val="00996FAB"/>
    <w:rsid w:val="00997530"/>
    <w:rsid w:val="00997563"/>
    <w:rsid w:val="009A0DFA"/>
    <w:rsid w:val="009A21C6"/>
    <w:rsid w:val="009A2CFA"/>
    <w:rsid w:val="009A2FB3"/>
    <w:rsid w:val="009A4C0D"/>
    <w:rsid w:val="009A4CC7"/>
    <w:rsid w:val="009A5BE4"/>
    <w:rsid w:val="009A5D1F"/>
    <w:rsid w:val="009A68F0"/>
    <w:rsid w:val="009A7E31"/>
    <w:rsid w:val="009B0B20"/>
    <w:rsid w:val="009B1B40"/>
    <w:rsid w:val="009B2D51"/>
    <w:rsid w:val="009B2E1C"/>
    <w:rsid w:val="009B37F4"/>
    <w:rsid w:val="009B4162"/>
    <w:rsid w:val="009B5429"/>
    <w:rsid w:val="009B59A1"/>
    <w:rsid w:val="009B5EAC"/>
    <w:rsid w:val="009B5F06"/>
    <w:rsid w:val="009B71EE"/>
    <w:rsid w:val="009B798A"/>
    <w:rsid w:val="009B7C83"/>
    <w:rsid w:val="009C1193"/>
    <w:rsid w:val="009C1935"/>
    <w:rsid w:val="009C25F9"/>
    <w:rsid w:val="009C31CE"/>
    <w:rsid w:val="009C34BA"/>
    <w:rsid w:val="009C3BD5"/>
    <w:rsid w:val="009C3D4F"/>
    <w:rsid w:val="009C495C"/>
    <w:rsid w:val="009C5276"/>
    <w:rsid w:val="009C6344"/>
    <w:rsid w:val="009C6562"/>
    <w:rsid w:val="009C7559"/>
    <w:rsid w:val="009D005C"/>
    <w:rsid w:val="009D0E9C"/>
    <w:rsid w:val="009D1627"/>
    <w:rsid w:val="009D1FCD"/>
    <w:rsid w:val="009D2334"/>
    <w:rsid w:val="009D3316"/>
    <w:rsid w:val="009D343A"/>
    <w:rsid w:val="009D43AF"/>
    <w:rsid w:val="009D46E5"/>
    <w:rsid w:val="009D6414"/>
    <w:rsid w:val="009D68E0"/>
    <w:rsid w:val="009D6F0E"/>
    <w:rsid w:val="009D70E4"/>
    <w:rsid w:val="009D7240"/>
    <w:rsid w:val="009D7898"/>
    <w:rsid w:val="009D7C45"/>
    <w:rsid w:val="009E1FDB"/>
    <w:rsid w:val="009E2415"/>
    <w:rsid w:val="009E2B1E"/>
    <w:rsid w:val="009E35F6"/>
    <w:rsid w:val="009E4A41"/>
    <w:rsid w:val="009E5B63"/>
    <w:rsid w:val="009E737E"/>
    <w:rsid w:val="009E77D4"/>
    <w:rsid w:val="009F02EB"/>
    <w:rsid w:val="009F15F6"/>
    <w:rsid w:val="009F19B3"/>
    <w:rsid w:val="009F3842"/>
    <w:rsid w:val="009F48A3"/>
    <w:rsid w:val="009F5312"/>
    <w:rsid w:val="009F54F9"/>
    <w:rsid w:val="009F6882"/>
    <w:rsid w:val="009F6BB1"/>
    <w:rsid w:val="009F7141"/>
    <w:rsid w:val="009F792D"/>
    <w:rsid w:val="009F7DA5"/>
    <w:rsid w:val="009F7FE5"/>
    <w:rsid w:val="00A013FE"/>
    <w:rsid w:val="00A01638"/>
    <w:rsid w:val="00A020F1"/>
    <w:rsid w:val="00A02A77"/>
    <w:rsid w:val="00A03032"/>
    <w:rsid w:val="00A0334E"/>
    <w:rsid w:val="00A03D04"/>
    <w:rsid w:val="00A0459A"/>
    <w:rsid w:val="00A054FB"/>
    <w:rsid w:val="00A05691"/>
    <w:rsid w:val="00A05CEA"/>
    <w:rsid w:val="00A05FA8"/>
    <w:rsid w:val="00A11851"/>
    <w:rsid w:val="00A11918"/>
    <w:rsid w:val="00A127C1"/>
    <w:rsid w:val="00A13873"/>
    <w:rsid w:val="00A1437D"/>
    <w:rsid w:val="00A15416"/>
    <w:rsid w:val="00A16566"/>
    <w:rsid w:val="00A20550"/>
    <w:rsid w:val="00A21871"/>
    <w:rsid w:val="00A21979"/>
    <w:rsid w:val="00A223CD"/>
    <w:rsid w:val="00A22AE9"/>
    <w:rsid w:val="00A22ED6"/>
    <w:rsid w:val="00A231CA"/>
    <w:rsid w:val="00A2339E"/>
    <w:rsid w:val="00A23448"/>
    <w:rsid w:val="00A23744"/>
    <w:rsid w:val="00A23F5F"/>
    <w:rsid w:val="00A252E9"/>
    <w:rsid w:val="00A2592B"/>
    <w:rsid w:val="00A25C79"/>
    <w:rsid w:val="00A26384"/>
    <w:rsid w:val="00A268A1"/>
    <w:rsid w:val="00A27C2B"/>
    <w:rsid w:val="00A30AF7"/>
    <w:rsid w:val="00A311DB"/>
    <w:rsid w:val="00A3359C"/>
    <w:rsid w:val="00A3372A"/>
    <w:rsid w:val="00A33E2B"/>
    <w:rsid w:val="00A342D9"/>
    <w:rsid w:val="00A34815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7B6"/>
    <w:rsid w:val="00A40C8E"/>
    <w:rsid w:val="00A420B4"/>
    <w:rsid w:val="00A42381"/>
    <w:rsid w:val="00A427A9"/>
    <w:rsid w:val="00A42FD4"/>
    <w:rsid w:val="00A43D31"/>
    <w:rsid w:val="00A440C2"/>
    <w:rsid w:val="00A44FCD"/>
    <w:rsid w:val="00A4551C"/>
    <w:rsid w:val="00A45954"/>
    <w:rsid w:val="00A46761"/>
    <w:rsid w:val="00A46764"/>
    <w:rsid w:val="00A4712F"/>
    <w:rsid w:val="00A47942"/>
    <w:rsid w:val="00A509E9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57232"/>
    <w:rsid w:val="00A57F18"/>
    <w:rsid w:val="00A6021A"/>
    <w:rsid w:val="00A60395"/>
    <w:rsid w:val="00A609F4"/>
    <w:rsid w:val="00A61AC0"/>
    <w:rsid w:val="00A6272D"/>
    <w:rsid w:val="00A631D0"/>
    <w:rsid w:val="00A63245"/>
    <w:rsid w:val="00A6352F"/>
    <w:rsid w:val="00A642D8"/>
    <w:rsid w:val="00A6467A"/>
    <w:rsid w:val="00A64792"/>
    <w:rsid w:val="00A64BF3"/>
    <w:rsid w:val="00A652DA"/>
    <w:rsid w:val="00A65525"/>
    <w:rsid w:val="00A657D4"/>
    <w:rsid w:val="00A67C48"/>
    <w:rsid w:val="00A70649"/>
    <w:rsid w:val="00A706EB"/>
    <w:rsid w:val="00A70C4A"/>
    <w:rsid w:val="00A70DCD"/>
    <w:rsid w:val="00A710B3"/>
    <w:rsid w:val="00A712F6"/>
    <w:rsid w:val="00A7184A"/>
    <w:rsid w:val="00A71A36"/>
    <w:rsid w:val="00A73F83"/>
    <w:rsid w:val="00A74094"/>
    <w:rsid w:val="00A74382"/>
    <w:rsid w:val="00A7508B"/>
    <w:rsid w:val="00A750FA"/>
    <w:rsid w:val="00A7562C"/>
    <w:rsid w:val="00A75CAD"/>
    <w:rsid w:val="00A7645F"/>
    <w:rsid w:val="00A8026D"/>
    <w:rsid w:val="00A813B3"/>
    <w:rsid w:val="00A81D9A"/>
    <w:rsid w:val="00A81F0D"/>
    <w:rsid w:val="00A822C8"/>
    <w:rsid w:val="00A8274F"/>
    <w:rsid w:val="00A82E89"/>
    <w:rsid w:val="00A82F80"/>
    <w:rsid w:val="00A831EC"/>
    <w:rsid w:val="00A839E1"/>
    <w:rsid w:val="00A84C14"/>
    <w:rsid w:val="00A86226"/>
    <w:rsid w:val="00A86719"/>
    <w:rsid w:val="00A86E30"/>
    <w:rsid w:val="00A86EE9"/>
    <w:rsid w:val="00A86F72"/>
    <w:rsid w:val="00A875B4"/>
    <w:rsid w:val="00A906C1"/>
    <w:rsid w:val="00A90CA0"/>
    <w:rsid w:val="00A90D46"/>
    <w:rsid w:val="00A90FAB"/>
    <w:rsid w:val="00A9100E"/>
    <w:rsid w:val="00A912F2"/>
    <w:rsid w:val="00A920B7"/>
    <w:rsid w:val="00A92F09"/>
    <w:rsid w:val="00A94F14"/>
    <w:rsid w:val="00A952C6"/>
    <w:rsid w:val="00A95781"/>
    <w:rsid w:val="00A960E0"/>
    <w:rsid w:val="00A96238"/>
    <w:rsid w:val="00A9669A"/>
    <w:rsid w:val="00A967F9"/>
    <w:rsid w:val="00A96E07"/>
    <w:rsid w:val="00A971BC"/>
    <w:rsid w:val="00A9754E"/>
    <w:rsid w:val="00A978FE"/>
    <w:rsid w:val="00AA02DA"/>
    <w:rsid w:val="00AA1813"/>
    <w:rsid w:val="00AA1FE9"/>
    <w:rsid w:val="00AA210D"/>
    <w:rsid w:val="00AA303D"/>
    <w:rsid w:val="00AA4235"/>
    <w:rsid w:val="00AA5267"/>
    <w:rsid w:val="00AA5317"/>
    <w:rsid w:val="00AA5606"/>
    <w:rsid w:val="00AA64E0"/>
    <w:rsid w:val="00AA6A90"/>
    <w:rsid w:val="00AA6C89"/>
    <w:rsid w:val="00AA7997"/>
    <w:rsid w:val="00AB0732"/>
    <w:rsid w:val="00AB0752"/>
    <w:rsid w:val="00AB171E"/>
    <w:rsid w:val="00AB18F9"/>
    <w:rsid w:val="00AB221F"/>
    <w:rsid w:val="00AB2286"/>
    <w:rsid w:val="00AB2476"/>
    <w:rsid w:val="00AB2D11"/>
    <w:rsid w:val="00AB3286"/>
    <w:rsid w:val="00AB4B22"/>
    <w:rsid w:val="00AB4E7A"/>
    <w:rsid w:val="00AB564F"/>
    <w:rsid w:val="00AB5F56"/>
    <w:rsid w:val="00AB65FA"/>
    <w:rsid w:val="00AB65FD"/>
    <w:rsid w:val="00AB68AC"/>
    <w:rsid w:val="00AB760A"/>
    <w:rsid w:val="00AB7F19"/>
    <w:rsid w:val="00AC0919"/>
    <w:rsid w:val="00AC12E0"/>
    <w:rsid w:val="00AC22D2"/>
    <w:rsid w:val="00AC2589"/>
    <w:rsid w:val="00AC3270"/>
    <w:rsid w:val="00AC3813"/>
    <w:rsid w:val="00AC45D7"/>
    <w:rsid w:val="00AC4A24"/>
    <w:rsid w:val="00AC53ED"/>
    <w:rsid w:val="00AC7D79"/>
    <w:rsid w:val="00AD0359"/>
    <w:rsid w:val="00AD1335"/>
    <w:rsid w:val="00AD1BE4"/>
    <w:rsid w:val="00AD2D78"/>
    <w:rsid w:val="00AD2E3E"/>
    <w:rsid w:val="00AD2FEE"/>
    <w:rsid w:val="00AD45EA"/>
    <w:rsid w:val="00AD4CC3"/>
    <w:rsid w:val="00AD4DEF"/>
    <w:rsid w:val="00AD5AE3"/>
    <w:rsid w:val="00AD60F5"/>
    <w:rsid w:val="00AD6948"/>
    <w:rsid w:val="00AD6C10"/>
    <w:rsid w:val="00AD74BF"/>
    <w:rsid w:val="00AD7D30"/>
    <w:rsid w:val="00AE04EA"/>
    <w:rsid w:val="00AE06CF"/>
    <w:rsid w:val="00AE0BE7"/>
    <w:rsid w:val="00AE1496"/>
    <w:rsid w:val="00AE1646"/>
    <w:rsid w:val="00AE2056"/>
    <w:rsid w:val="00AE29CA"/>
    <w:rsid w:val="00AE309F"/>
    <w:rsid w:val="00AE420B"/>
    <w:rsid w:val="00AE4D94"/>
    <w:rsid w:val="00AE4F0E"/>
    <w:rsid w:val="00AE5BF2"/>
    <w:rsid w:val="00AE6734"/>
    <w:rsid w:val="00AE7041"/>
    <w:rsid w:val="00AE7205"/>
    <w:rsid w:val="00AE79C8"/>
    <w:rsid w:val="00AE7CD4"/>
    <w:rsid w:val="00AF1985"/>
    <w:rsid w:val="00AF203C"/>
    <w:rsid w:val="00AF31D1"/>
    <w:rsid w:val="00AF36FD"/>
    <w:rsid w:val="00AF3BE3"/>
    <w:rsid w:val="00AF3E8E"/>
    <w:rsid w:val="00AF3F69"/>
    <w:rsid w:val="00AF57E5"/>
    <w:rsid w:val="00AF6333"/>
    <w:rsid w:val="00AF6F70"/>
    <w:rsid w:val="00AF7062"/>
    <w:rsid w:val="00AF718F"/>
    <w:rsid w:val="00B00B92"/>
    <w:rsid w:val="00B017EA"/>
    <w:rsid w:val="00B02A3D"/>
    <w:rsid w:val="00B036CB"/>
    <w:rsid w:val="00B0395A"/>
    <w:rsid w:val="00B03FE7"/>
    <w:rsid w:val="00B046A8"/>
    <w:rsid w:val="00B0540A"/>
    <w:rsid w:val="00B059FC"/>
    <w:rsid w:val="00B0689F"/>
    <w:rsid w:val="00B068E7"/>
    <w:rsid w:val="00B070CC"/>
    <w:rsid w:val="00B10BB9"/>
    <w:rsid w:val="00B10D11"/>
    <w:rsid w:val="00B116C0"/>
    <w:rsid w:val="00B117EF"/>
    <w:rsid w:val="00B1192B"/>
    <w:rsid w:val="00B12207"/>
    <w:rsid w:val="00B12641"/>
    <w:rsid w:val="00B139F6"/>
    <w:rsid w:val="00B141CE"/>
    <w:rsid w:val="00B14B74"/>
    <w:rsid w:val="00B14E94"/>
    <w:rsid w:val="00B15CCF"/>
    <w:rsid w:val="00B16C97"/>
    <w:rsid w:val="00B2044D"/>
    <w:rsid w:val="00B204D8"/>
    <w:rsid w:val="00B205C2"/>
    <w:rsid w:val="00B213CA"/>
    <w:rsid w:val="00B2180E"/>
    <w:rsid w:val="00B225B7"/>
    <w:rsid w:val="00B239A1"/>
    <w:rsid w:val="00B24D0A"/>
    <w:rsid w:val="00B25982"/>
    <w:rsid w:val="00B27082"/>
    <w:rsid w:val="00B27F2E"/>
    <w:rsid w:val="00B3006B"/>
    <w:rsid w:val="00B3149A"/>
    <w:rsid w:val="00B319DF"/>
    <w:rsid w:val="00B31BD4"/>
    <w:rsid w:val="00B31EF9"/>
    <w:rsid w:val="00B32918"/>
    <w:rsid w:val="00B33A6D"/>
    <w:rsid w:val="00B340FF"/>
    <w:rsid w:val="00B35275"/>
    <w:rsid w:val="00B3549E"/>
    <w:rsid w:val="00B35F68"/>
    <w:rsid w:val="00B36B77"/>
    <w:rsid w:val="00B36C38"/>
    <w:rsid w:val="00B36EDA"/>
    <w:rsid w:val="00B37735"/>
    <w:rsid w:val="00B40AB0"/>
    <w:rsid w:val="00B41170"/>
    <w:rsid w:val="00B42658"/>
    <w:rsid w:val="00B42762"/>
    <w:rsid w:val="00B42FDE"/>
    <w:rsid w:val="00B43E8A"/>
    <w:rsid w:val="00B44332"/>
    <w:rsid w:val="00B44481"/>
    <w:rsid w:val="00B4551F"/>
    <w:rsid w:val="00B45E30"/>
    <w:rsid w:val="00B46BA5"/>
    <w:rsid w:val="00B5071C"/>
    <w:rsid w:val="00B50DEB"/>
    <w:rsid w:val="00B510B3"/>
    <w:rsid w:val="00B51DFC"/>
    <w:rsid w:val="00B54F42"/>
    <w:rsid w:val="00B564E6"/>
    <w:rsid w:val="00B5650D"/>
    <w:rsid w:val="00B5771B"/>
    <w:rsid w:val="00B57CB4"/>
    <w:rsid w:val="00B57CEB"/>
    <w:rsid w:val="00B6029E"/>
    <w:rsid w:val="00B6110B"/>
    <w:rsid w:val="00B6145C"/>
    <w:rsid w:val="00B61636"/>
    <w:rsid w:val="00B62CC9"/>
    <w:rsid w:val="00B65D4E"/>
    <w:rsid w:val="00B65F58"/>
    <w:rsid w:val="00B66126"/>
    <w:rsid w:val="00B6782E"/>
    <w:rsid w:val="00B6794F"/>
    <w:rsid w:val="00B67B48"/>
    <w:rsid w:val="00B67CB2"/>
    <w:rsid w:val="00B702D5"/>
    <w:rsid w:val="00B7087A"/>
    <w:rsid w:val="00B70A29"/>
    <w:rsid w:val="00B70C4F"/>
    <w:rsid w:val="00B718CD"/>
    <w:rsid w:val="00B71B40"/>
    <w:rsid w:val="00B71EF3"/>
    <w:rsid w:val="00B71F7C"/>
    <w:rsid w:val="00B7237B"/>
    <w:rsid w:val="00B727BD"/>
    <w:rsid w:val="00B72EFD"/>
    <w:rsid w:val="00B73B9C"/>
    <w:rsid w:val="00B74A76"/>
    <w:rsid w:val="00B74BAC"/>
    <w:rsid w:val="00B7547E"/>
    <w:rsid w:val="00B75C3C"/>
    <w:rsid w:val="00B77C8E"/>
    <w:rsid w:val="00B77FB9"/>
    <w:rsid w:val="00B77FBF"/>
    <w:rsid w:val="00B8008B"/>
    <w:rsid w:val="00B8321E"/>
    <w:rsid w:val="00B83D14"/>
    <w:rsid w:val="00B84932"/>
    <w:rsid w:val="00B851DA"/>
    <w:rsid w:val="00B859EF"/>
    <w:rsid w:val="00B86D40"/>
    <w:rsid w:val="00B90004"/>
    <w:rsid w:val="00B905BC"/>
    <w:rsid w:val="00B913D6"/>
    <w:rsid w:val="00B91C48"/>
    <w:rsid w:val="00B91C83"/>
    <w:rsid w:val="00B91E81"/>
    <w:rsid w:val="00B92EA0"/>
    <w:rsid w:val="00B93457"/>
    <w:rsid w:val="00B93679"/>
    <w:rsid w:val="00B937CC"/>
    <w:rsid w:val="00B940A5"/>
    <w:rsid w:val="00B9649F"/>
    <w:rsid w:val="00B96572"/>
    <w:rsid w:val="00B9779C"/>
    <w:rsid w:val="00BA0836"/>
    <w:rsid w:val="00BA0EC5"/>
    <w:rsid w:val="00BA0F13"/>
    <w:rsid w:val="00BA1687"/>
    <w:rsid w:val="00BA217A"/>
    <w:rsid w:val="00BA2658"/>
    <w:rsid w:val="00BA3355"/>
    <w:rsid w:val="00BA3735"/>
    <w:rsid w:val="00BA3871"/>
    <w:rsid w:val="00BA4249"/>
    <w:rsid w:val="00BA56BD"/>
    <w:rsid w:val="00BA6095"/>
    <w:rsid w:val="00BA6982"/>
    <w:rsid w:val="00BA6D77"/>
    <w:rsid w:val="00BA70A9"/>
    <w:rsid w:val="00BA7EF3"/>
    <w:rsid w:val="00BB04CB"/>
    <w:rsid w:val="00BB0BB9"/>
    <w:rsid w:val="00BB15CF"/>
    <w:rsid w:val="00BB1D47"/>
    <w:rsid w:val="00BB1E11"/>
    <w:rsid w:val="00BB2166"/>
    <w:rsid w:val="00BB353E"/>
    <w:rsid w:val="00BB4A25"/>
    <w:rsid w:val="00BB5081"/>
    <w:rsid w:val="00BB5410"/>
    <w:rsid w:val="00BB6541"/>
    <w:rsid w:val="00BB6C36"/>
    <w:rsid w:val="00BB745E"/>
    <w:rsid w:val="00BB74E3"/>
    <w:rsid w:val="00BC0029"/>
    <w:rsid w:val="00BC20DF"/>
    <w:rsid w:val="00BC28B5"/>
    <w:rsid w:val="00BC3AF6"/>
    <w:rsid w:val="00BC44FE"/>
    <w:rsid w:val="00BC53FF"/>
    <w:rsid w:val="00BC5818"/>
    <w:rsid w:val="00BC6323"/>
    <w:rsid w:val="00BC697A"/>
    <w:rsid w:val="00BC73CE"/>
    <w:rsid w:val="00BC74EF"/>
    <w:rsid w:val="00BD19F8"/>
    <w:rsid w:val="00BD490E"/>
    <w:rsid w:val="00BD4B3E"/>
    <w:rsid w:val="00BD6136"/>
    <w:rsid w:val="00BD64D3"/>
    <w:rsid w:val="00BD699F"/>
    <w:rsid w:val="00BD7370"/>
    <w:rsid w:val="00BD7499"/>
    <w:rsid w:val="00BD75CA"/>
    <w:rsid w:val="00BE0DA6"/>
    <w:rsid w:val="00BE0E88"/>
    <w:rsid w:val="00BE154E"/>
    <w:rsid w:val="00BE1D8D"/>
    <w:rsid w:val="00BE26B2"/>
    <w:rsid w:val="00BE313F"/>
    <w:rsid w:val="00BE32CA"/>
    <w:rsid w:val="00BE340D"/>
    <w:rsid w:val="00BE4125"/>
    <w:rsid w:val="00BE42E4"/>
    <w:rsid w:val="00BE475D"/>
    <w:rsid w:val="00BE5144"/>
    <w:rsid w:val="00BE5E0E"/>
    <w:rsid w:val="00BE60FB"/>
    <w:rsid w:val="00BE6A80"/>
    <w:rsid w:val="00BE753C"/>
    <w:rsid w:val="00BE7780"/>
    <w:rsid w:val="00BE7BB2"/>
    <w:rsid w:val="00BE7E54"/>
    <w:rsid w:val="00BF0ACF"/>
    <w:rsid w:val="00BF0F8F"/>
    <w:rsid w:val="00BF1217"/>
    <w:rsid w:val="00BF162F"/>
    <w:rsid w:val="00BF1C1F"/>
    <w:rsid w:val="00BF1DB3"/>
    <w:rsid w:val="00BF2980"/>
    <w:rsid w:val="00BF2D54"/>
    <w:rsid w:val="00BF47C7"/>
    <w:rsid w:val="00BF4B54"/>
    <w:rsid w:val="00BF586A"/>
    <w:rsid w:val="00BF5D4C"/>
    <w:rsid w:val="00BF6D8B"/>
    <w:rsid w:val="00BF70F1"/>
    <w:rsid w:val="00BF7221"/>
    <w:rsid w:val="00BF7BB0"/>
    <w:rsid w:val="00C00B26"/>
    <w:rsid w:val="00C012C8"/>
    <w:rsid w:val="00C026D7"/>
    <w:rsid w:val="00C0375F"/>
    <w:rsid w:val="00C04554"/>
    <w:rsid w:val="00C050AF"/>
    <w:rsid w:val="00C05478"/>
    <w:rsid w:val="00C0691B"/>
    <w:rsid w:val="00C06C0C"/>
    <w:rsid w:val="00C06CDF"/>
    <w:rsid w:val="00C07945"/>
    <w:rsid w:val="00C079E0"/>
    <w:rsid w:val="00C10E4A"/>
    <w:rsid w:val="00C1140A"/>
    <w:rsid w:val="00C11524"/>
    <w:rsid w:val="00C132BC"/>
    <w:rsid w:val="00C13C61"/>
    <w:rsid w:val="00C15170"/>
    <w:rsid w:val="00C15942"/>
    <w:rsid w:val="00C1641F"/>
    <w:rsid w:val="00C16740"/>
    <w:rsid w:val="00C16DED"/>
    <w:rsid w:val="00C174F0"/>
    <w:rsid w:val="00C178F3"/>
    <w:rsid w:val="00C20540"/>
    <w:rsid w:val="00C2138B"/>
    <w:rsid w:val="00C21FF5"/>
    <w:rsid w:val="00C22294"/>
    <w:rsid w:val="00C2396C"/>
    <w:rsid w:val="00C23CBC"/>
    <w:rsid w:val="00C2752B"/>
    <w:rsid w:val="00C27859"/>
    <w:rsid w:val="00C27B61"/>
    <w:rsid w:val="00C30093"/>
    <w:rsid w:val="00C3067D"/>
    <w:rsid w:val="00C30D04"/>
    <w:rsid w:val="00C31110"/>
    <w:rsid w:val="00C317CD"/>
    <w:rsid w:val="00C31DCA"/>
    <w:rsid w:val="00C32FCE"/>
    <w:rsid w:val="00C33167"/>
    <w:rsid w:val="00C33874"/>
    <w:rsid w:val="00C33AC8"/>
    <w:rsid w:val="00C35001"/>
    <w:rsid w:val="00C36E8B"/>
    <w:rsid w:val="00C36F8A"/>
    <w:rsid w:val="00C370EC"/>
    <w:rsid w:val="00C40D16"/>
    <w:rsid w:val="00C41ACC"/>
    <w:rsid w:val="00C41B8A"/>
    <w:rsid w:val="00C41EC0"/>
    <w:rsid w:val="00C423C9"/>
    <w:rsid w:val="00C4464E"/>
    <w:rsid w:val="00C44727"/>
    <w:rsid w:val="00C45845"/>
    <w:rsid w:val="00C4645C"/>
    <w:rsid w:val="00C4658C"/>
    <w:rsid w:val="00C471A9"/>
    <w:rsid w:val="00C47589"/>
    <w:rsid w:val="00C47F96"/>
    <w:rsid w:val="00C504C9"/>
    <w:rsid w:val="00C508C7"/>
    <w:rsid w:val="00C50991"/>
    <w:rsid w:val="00C50B69"/>
    <w:rsid w:val="00C512CC"/>
    <w:rsid w:val="00C51FBA"/>
    <w:rsid w:val="00C52CA7"/>
    <w:rsid w:val="00C52FDD"/>
    <w:rsid w:val="00C531E6"/>
    <w:rsid w:val="00C5337E"/>
    <w:rsid w:val="00C53D84"/>
    <w:rsid w:val="00C540CC"/>
    <w:rsid w:val="00C540EE"/>
    <w:rsid w:val="00C54129"/>
    <w:rsid w:val="00C544E8"/>
    <w:rsid w:val="00C55540"/>
    <w:rsid w:val="00C56B13"/>
    <w:rsid w:val="00C577C6"/>
    <w:rsid w:val="00C622BE"/>
    <w:rsid w:val="00C625B6"/>
    <w:rsid w:val="00C627BF"/>
    <w:rsid w:val="00C62ABE"/>
    <w:rsid w:val="00C64879"/>
    <w:rsid w:val="00C65632"/>
    <w:rsid w:val="00C662D5"/>
    <w:rsid w:val="00C66362"/>
    <w:rsid w:val="00C666AA"/>
    <w:rsid w:val="00C66BA2"/>
    <w:rsid w:val="00C66E64"/>
    <w:rsid w:val="00C70A7A"/>
    <w:rsid w:val="00C72078"/>
    <w:rsid w:val="00C72A48"/>
    <w:rsid w:val="00C73034"/>
    <w:rsid w:val="00C73134"/>
    <w:rsid w:val="00C73723"/>
    <w:rsid w:val="00C73BCC"/>
    <w:rsid w:val="00C73F4B"/>
    <w:rsid w:val="00C74EC0"/>
    <w:rsid w:val="00C754BC"/>
    <w:rsid w:val="00C760CE"/>
    <w:rsid w:val="00C760E7"/>
    <w:rsid w:val="00C76DC6"/>
    <w:rsid w:val="00C7707A"/>
    <w:rsid w:val="00C77EC8"/>
    <w:rsid w:val="00C800B1"/>
    <w:rsid w:val="00C8088A"/>
    <w:rsid w:val="00C80F31"/>
    <w:rsid w:val="00C81196"/>
    <w:rsid w:val="00C829C8"/>
    <w:rsid w:val="00C82E18"/>
    <w:rsid w:val="00C856A4"/>
    <w:rsid w:val="00C85905"/>
    <w:rsid w:val="00C85ADB"/>
    <w:rsid w:val="00C86851"/>
    <w:rsid w:val="00C87075"/>
    <w:rsid w:val="00C8777F"/>
    <w:rsid w:val="00C87DC8"/>
    <w:rsid w:val="00C87F54"/>
    <w:rsid w:val="00C90B84"/>
    <w:rsid w:val="00C9200F"/>
    <w:rsid w:val="00C925A4"/>
    <w:rsid w:val="00C92655"/>
    <w:rsid w:val="00C92D91"/>
    <w:rsid w:val="00C92F05"/>
    <w:rsid w:val="00C937DA"/>
    <w:rsid w:val="00C93B90"/>
    <w:rsid w:val="00C944EA"/>
    <w:rsid w:val="00C946DB"/>
    <w:rsid w:val="00C9517D"/>
    <w:rsid w:val="00C95E21"/>
    <w:rsid w:val="00C96AFE"/>
    <w:rsid w:val="00C97A07"/>
    <w:rsid w:val="00CA01AE"/>
    <w:rsid w:val="00CA085C"/>
    <w:rsid w:val="00CA10CC"/>
    <w:rsid w:val="00CA12F6"/>
    <w:rsid w:val="00CA189F"/>
    <w:rsid w:val="00CA1AED"/>
    <w:rsid w:val="00CA1B0A"/>
    <w:rsid w:val="00CA209C"/>
    <w:rsid w:val="00CA20EA"/>
    <w:rsid w:val="00CA226F"/>
    <w:rsid w:val="00CA2BDE"/>
    <w:rsid w:val="00CA2C8A"/>
    <w:rsid w:val="00CA2D47"/>
    <w:rsid w:val="00CA3AEB"/>
    <w:rsid w:val="00CA3EBE"/>
    <w:rsid w:val="00CA4778"/>
    <w:rsid w:val="00CA4DD7"/>
    <w:rsid w:val="00CA53DD"/>
    <w:rsid w:val="00CA5655"/>
    <w:rsid w:val="00CA595B"/>
    <w:rsid w:val="00CA5ECF"/>
    <w:rsid w:val="00CA6200"/>
    <w:rsid w:val="00CA633F"/>
    <w:rsid w:val="00CA7A8B"/>
    <w:rsid w:val="00CA7A9A"/>
    <w:rsid w:val="00CA7D24"/>
    <w:rsid w:val="00CA7EB2"/>
    <w:rsid w:val="00CB0292"/>
    <w:rsid w:val="00CB03D5"/>
    <w:rsid w:val="00CB0A9C"/>
    <w:rsid w:val="00CB1844"/>
    <w:rsid w:val="00CB2C06"/>
    <w:rsid w:val="00CB2DF8"/>
    <w:rsid w:val="00CB3138"/>
    <w:rsid w:val="00CB3B2C"/>
    <w:rsid w:val="00CB42B6"/>
    <w:rsid w:val="00CB4809"/>
    <w:rsid w:val="00CB5528"/>
    <w:rsid w:val="00CB571C"/>
    <w:rsid w:val="00CB6E3B"/>
    <w:rsid w:val="00CB75BD"/>
    <w:rsid w:val="00CB7FA6"/>
    <w:rsid w:val="00CC045D"/>
    <w:rsid w:val="00CC0CA8"/>
    <w:rsid w:val="00CC14B7"/>
    <w:rsid w:val="00CC1AD7"/>
    <w:rsid w:val="00CC5596"/>
    <w:rsid w:val="00CC6B48"/>
    <w:rsid w:val="00CC70B4"/>
    <w:rsid w:val="00CD0529"/>
    <w:rsid w:val="00CD07DD"/>
    <w:rsid w:val="00CD3F0A"/>
    <w:rsid w:val="00CD5AD4"/>
    <w:rsid w:val="00CD5E23"/>
    <w:rsid w:val="00CD68D8"/>
    <w:rsid w:val="00CD6C01"/>
    <w:rsid w:val="00CD6CC8"/>
    <w:rsid w:val="00CD6DBB"/>
    <w:rsid w:val="00CD6F40"/>
    <w:rsid w:val="00CD70B2"/>
    <w:rsid w:val="00CD73C9"/>
    <w:rsid w:val="00CD7560"/>
    <w:rsid w:val="00CE01AB"/>
    <w:rsid w:val="00CE03C5"/>
    <w:rsid w:val="00CE0583"/>
    <w:rsid w:val="00CE0F58"/>
    <w:rsid w:val="00CE11E0"/>
    <w:rsid w:val="00CE27ED"/>
    <w:rsid w:val="00CE2A2C"/>
    <w:rsid w:val="00CE35D3"/>
    <w:rsid w:val="00CE38AE"/>
    <w:rsid w:val="00CE402F"/>
    <w:rsid w:val="00CE48EC"/>
    <w:rsid w:val="00CE5C68"/>
    <w:rsid w:val="00CE6563"/>
    <w:rsid w:val="00CE750A"/>
    <w:rsid w:val="00CE7816"/>
    <w:rsid w:val="00CE7D28"/>
    <w:rsid w:val="00CF14B5"/>
    <w:rsid w:val="00CF1C52"/>
    <w:rsid w:val="00CF1D5F"/>
    <w:rsid w:val="00CF2347"/>
    <w:rsid w:val="00CF25D6"/>
    <w:rsid w:val="00CF32EB"/>
    <w:rsid w:val="00CF337E"/>
    <w:rsid w:val="00CF3818"/>
    <w:rsid w:val="00CF38F1"/>
    <w:rsid w:val="00CF3C97"/>
    <w:rsid w:val="00CF4F08"/>
    <w:rsid w:val="00CF54B8"/>
    <w:rsid w:val="00CF5F5A"/>
    <w:rsid w:val="00CF63F1"/>
    <w:rsid w:val="00CF7754"/>
    <w:rsid w:val="00CF7853"/>
    <w:rsid w:val="00CF78C3"/>
    <w:rsid w:val="00CF7FE4"/>
    <w:rsid w:val="00D0083D"/>
    <w:rsid w:val="00D00B44"/>
    <w:rsid w:val="00D00B5B"/>
    <w:rsid w:val="00D010A9"/>
    <w:rsid w:val="00D011A3"/>
    <w:rsid w:val="00D0145B"/>
    <w:rsid w:val="00D01BA4"/>
    <w:rsid w:val="00D024DD"/>
    <w:rsid w:val="00D027BA"/>
    <w:rsid w:val="00D02A7E"/>
    <w:rsid w:val="00D031CE"/>
    <w:rsid w:val="00D032A8"/>
    <w:rsid w:val="00D03C51"/>
    <w:rsid w:val="00D04E9F"/>
    <w:rsid w:val="00D07282"/>
    <w:rsid w:val="00D0747E"/>
    <w:rsid w:val="00D07DFD"/>
    <w:rsid w:val="00D07F87"/>
    <w:rsid w:val="00D100FF"/>
    <w:rsid w:val="00D10306"/>
    <w:rsid w:val="00D118BB"/>
    <w:rsid w:val="00D11B22"/>
    <w:rsid w:val="00D12BA6"/>
    <w:rsid w:val="00D12BE9"/>
    <w:rsid w:val="00D14393"/>
    <w:rsid w:val="00D1511E"/>
    <w:rsid w:val="00D15EF5"/>
    <w:rsid w:val="00D1665B"/>
    <w:rsid w:val="00D1712D"/>
    <w:rsid w:val="00D17D13"/>
    <w:rsid w:val="00D21604"/>
    <w:rsid w:val="00D22F31"/>
    <w:rsid w:val="00D22F40"/>
    <w:rsid w:val="00D23477"/>
    <w:rsid w:val="00D239E3"/>
    <w:rsid w:val="00D246ED"/>
    <w:rsid w:val="00D24D89"/>
    <w:rsid w:val="00D24F1F"/>
    <w:rsid w:val="00D25009"/>
    <w:rsid w:val="00D255BC"/>
    <w:rsid w:val="00D25F2A"/>
    <w:rsid w:val="00D2725B"/>
    <w:rsid w:val="00D27FCF"/>
    <w:rsid w:val="00D30130"/>
    <w:rsid w:val="00D308CB"/>
    <w:rsid w:val="00D30BD4"/>
    <w:rsid w:val="00D315DB"/>
    <w:rsid w:val="00D318A4"/>
    <w:rsid w:val="00D323C5"/>
    <w:rsid w:val="00D34490"/>
    <w:rsid w:val="00D34DB7"/>
    <w:rsid w:val="00D35248"/>
    <w:rsid w:val="00D37A53"/>
    <w:rsid w:val="00D40FD0"/>
    <w:rsid w:val="00D4236C"/>
    <w:rsid w:val="00D42779"/>
    <w:rsid w:val="00D43F66"/>
    <w:rsid w:val="00D456FA"/>
    <w:rsid w:val="00D458D5"/>
    <w:rsid w:val="00D472B2"/>
    <w:rsid w:val="00D5099D"/>
    <w:rsid w:val="00D51071"/>
    <w:rsid w:val="00D51266"/>
    <w:rsid w:val="00D5149D"/>
    <w:rsid w:val="00D51D1C"/>
    <w:rsid w:val="00D525DA"/>
    <w:rsid w:val="00D52663"/>
    <w:rsid w:val="00D53D40"/>
    <w:rsid w:val="00D540CB"/>
    <w:rsid w:val="00D542F4"/>
    <w:rsid w:val="00D5460E"/>
    <w:rsid w:val="00D54713"/>
    <w:rsid w:val="00D549B7"/>
    <w:rsid w:val="00D55CFF"/>
    <w:rsid w:val="00D56354"/>
    <w:rsid w:val="00D61B2A"/>
    <w:rsid w:val="00D634CC"/>
    <w:rsid w:val="00D6473F"/>
    <w:rsid w:val="00D64A4A"/>
    <w:rsid w:val="00D64FB3"/>
    <w:rsid w:val="00D65B23"/>
    <w:rsid w:val="00D65C41"/>
    <w:rsid w:val="00D66132"/>
    <w:rsid w:val="00D666BC"/>
    <w:rsid w:val="00D6693B"/>
    <w:rsid w:val="00D66F42"/>
    <w:rsid w:val="00D67AF4"/>
    <w:rsid w:val="00D67DF7"/>
    <w:rsid w:val="00D728F6"/>
    <w:rsid w:val="00D73193"/>
    <w:rsid w:val="00D74837"/>
    <w:rsid w:val="00D75442"/>
    <w:rsid w:val="00D754C3"/>
    <w:rsid w:val="00D758DB"/>
    <w:rsid w:val="00D763ED"/>
    <w:rsid w:val="00D76564"/>
    <w:rsid w:val="00D766A1"/>
    <w:rsid w:val="00D77AA9"/>
    <w:rsid w:val="00D80164"/>
    <w:rsid w:val="00D8099D"/>
    <w:rsid w:val="00D81CD9"/>
    <w:rsid w:val="00D82A6E"/>
    <w:rsid w:val="00D830C8"/>
    <w:rsid w:val="00D86153"/>
    <w:rsid w:val="00D86598"/>
    <w:rsid w:val="00D871D8"/>
    <w:rsid w:val="00D87B12"/>
    <w:rsid w:val="00D910D9"/>
    <w:rsid w:val="00D91156"/>
    <w:rsid w:val="00D91C9C"/>
    <w:rsid w:val="00D9241A"/>
    <w:rsid w:val="00D9277E"/>
    <w:rsid w:val="00D929FB"/>
    <w:rsid w:val="00D92BB9"/>
    <w:rsid w:val="00D93117"/>
    <w:rsid w:val="00D93129"/>
    <w:rsid w:val="00D9333D"/>
    <w:rsid w:val="00D9381D"/>
    <w:rsid w:val="00D943FF"/>
    <w:rsid w:val="00D9665E"/>
    <w:rsid w:val="00D9705E"/>
    <w:rsid w:val="00D972B2"/>
    <w:rsid w:val="00D9738A"/>
    <w:rsid w:val="00D97B94"/>
    <w:rsid w:val="00DA16CF"/>
    <w:rsid w:val="00DA1CC9"/>
    <w:rsid w:val="00DA2066"/>
    <w:rsid w:val="00DA212F"/>
    <w:rsid w:val="00DA2529"/>
    <w:rsid w:val="00DA2DD2"/>
    <w:rsid w:val="00DA2DEF"/>
    <w:rsid w:val="00DA429E"/>
    <w:rsid w:val="00DA44A8"/>
    <w:rsid w:val="00DA4709"/>
    <w:rsid w:val="00DA50A1"/>
    <w:rsid w:val="00DA63BB"/>
    <w:rsid w:val="00DA666E"/>
    <w:rsid w:val="00DA66A0"/>
    <w:rsid w:val="00DA66D4"/>
    <w:rsid w:val="00DA670D"/>
    <w:rsid w:val="00DA6957"/>
    <w:rsid w:val="00DA6A44"/>
    <w:rsid w:val="00DA76FF"/>
    <w:rsid w:val="00DB0BD5"/>
    <w:rsid w:val="00DB19AD"/>
    <w:rsid w:val="00DB2E0D"/>
    <w:rsid w:val="00DB2F84"/>
    <w:rsid w:val="00DB440D"/>
    <w:rsid w:val="00DB59D9"/>
    <w:rsid w:val="00DB5A74"/>
    <w:rsid w:val="00DB61C3"/>
    <w:rsid w:val="00DB7238"/>
    <w:rsid w:val="00DB7FC5"/>
    <w:rsid w:val="00DC0490"/>
    <w:rsid w:val="00DC0CA1"/>
    <w:rsid w:val="00DC167C"/>
    <w:rsid w:val="00DC2DAF"/>
    <w:rsid w:val="00DC2F4C"/>
    <w:rsid w:val="00DC3C8D"/>
    <w:rsid w:val="00DC55AE"/>
    <w:rsid w:val="00DC5996"/>
    <w:rsid w:val="00DC60B5"/>
    <w:rsid w:val="00DC7C8F"/>
    <w:rsid w:val="00DD1D96"/>
    <w:rsid w:val="00DD2EC1"/>
    <w:rsid w:val="00DD2FBB"/>
    <w:rsid w:val="00DD31E0"/>
    <w:rsid w:val="00DD370D"/>
    <w:rsid w:val="00DD3B6B"/>
    <w:rsid w:val="00DD3E30"/>
    <w:rsid w:val="00DD482A"/>
    <w:rsid w:val="00DD525E"/>
    <w:rsid w:val="00DD56B2"/>
    <w:rsid w:val="00DD5D4B"/>
    <w:rsid w:val="00DD6801"/>
    <w:rsid w:val="00DD7133"/>
    <w:rsid w:val="00DE1718"/>
    <w:rsid w:val="00DE243F"/>
    <w:rsid w:val="00DE2A5E"/>
    <w:rsid w:val="00DE2A96"/>
    <w:rsid w:val="00DE366A"/>
    <w:rsid w:val="00DE3E3C"/>
    <w:rsid w:val="00DE447F"/>
    <w:rsid w:val="00DE4807"/>
    <w:rsid w:val="00DE483E"/>
    <w:rsid w:val="00DE4E77"/>
    <w:rsid w:val="00DE5855"/>
    <w:rsid w:val="00DE642D"/>
    <w:rsid w:val="00DE6E70"/>
    <w:rsid w:val="00DE7394"/>
    <w:rsid w:val="00DE7C9D"/>
    <w:rsid w:val="00DE7F4A"/>
    <w:rsid w:val="00DE7FE2"/>
    <w:rsid w:val="00DF066C"/>
    <w:rsid w:val="00DF0976"/>
    <w:rsid w:val="00DF0C15"/>
    <w:rsid w:val="00DF0F00"/>
    <w:rsid w:val="00DF486D"/>
    <w:rsid w:val="00DF4B0D"/>
    <w:rsid w:val="00DF4D25"/>
    <w:rsid w:val="00DF586D"/>
    <w:rsid w:val="00DF58A2"/>
    <w:rsid w:val="00DF5D87"/>
    <w:rsid w:val="00DF6A2E"/>
    <w:rsid w:val="00DF73B8"/>
    <w:rsid w:val="00DF7AE3"/>
    <w:rsid w:val="00E01110"/>
    <w:rsid w:val="00E01383"/>
    <w:rsid w:val="00E01A07"/>
    <w:rsid w:val="00E02086"/>
    <w:rsid w:val="00E022BC"/>
    <w:rsid w:val="00E03097"/>
    <w:rsid w:val="00E03DEE"/>
    <w:rsid w:val="00E05518"/>
    <w:rsid w:val="00E055D1"/>
    <w:rsid w:val="00E05A88"/>
    <w:rsid w:val="00E060D4"/>
    <w:rsid w:val="00E07672"/>
    <w:rsid w:val="00E079FE"/>
    <w:rsid w:val="00E103ED"/>
    <w:rsid w:val="00E10768"/>
    <w:rsid w:val="00E10A4D"/>
    <w:rsid w:val="00E10CCD"/>
    <w:rsid w:val="00E10DD3"/>
    <w:rsid w:val="00E11778"/>
    <w:rsid w:val="00E11B92"/>
    <w:rsid w:val="00E12CDC"/>
    <w:rsid w:val="00E137C7"/>
    <w:rsid w:val="00E1507F"/>
    <w:rsid w:val="00E1631F"/>
    <w:rsid w:val="00E165D0"/>
    <w:rsid w:val="00E166F2"/>
    <w:rsid w:val="00E16C1E"/>
    <w:rsid w:val="00E16FAA"/>
    <w:rsid w:val="00E1739D"/>
    <w:rsid w:val="00E17616"/>
    <w:rsid w:val="00E17D85"/>
    <w:rsid w:val="00E207CC"/>
    <w:rsid w:val="00E20E9F"/>
    <w:rsid w:val="00E20FDD"/>
    <w:rsid w:val="00E21574"/>
    <w:rsid w:val="00E21F9A"/>
    <w:rsid w:val="00E22033"/>
    <w:rsid w:val="00E2211B"/>
    <w:rsid w:val="00E22564"/>
    <w:rsid w:val="00E2305C"/>
    <w:rsid w:val="00E23567"/>
    <w:rsid w:val="00E23956"/>
    <w:rsid w:val="00E23E9C"/>
    <w:rsid w:val="00E26897"/>
    <w:rsid w:val="00E273C9"/>
    <w:rsid w:val="00E27685"/>
    <w:rsid w:val="00E30FBB"/>
    <w:rsid w:val="00E313DA"/>
    <w:rsid w:val="00E31A52"/>
    <w:rsid w:val="00E3299E"/>
    <w:rsid w:val="00E33173"/>
    <w:rsid w:val="00E338D6"/>
    <w:rsid w:val="00E33A29"/>
    <w:rsid w:val="00E35785"/>
    <w:rsid w:val="00E360DD"/>
    <w:rsid w:val="00E375D1"/>
    <w:rsid w:val="00E402F5"/>
    <w:rsid w:val="00E4030B"/>
    <w:rsid w:val="00E418A3"/>
    <w:rsid w:val="00E41923"/>
    <w:rsid w:val="00E42BEA"/>
    <w:rsid w:val="00E42DC6"/>
    <w:rsid w:val="00E43BC1"/>
    <w:rsid w:val="00E44137"/>
    <w:rsid w:val="00E443E6"/>
    <w:rsid w:val="00E44C7B"/>
    <w:rsid w:val="00E451E4"/>
    <w:rsid w:val="00E452AD"/>
    <w:rsid w:val="00E46A89"/>
    <w:rsid w:val="00E47683"/>
    <w:rsid w:val="00E47EA7"/>
    <w:rsid w:val="00E50538"/>
    <w:rsid w:val="00E505C4"/>
    <w:rsid w:val="00E51DE1"/>
    <w:rsid w:val="00E525D4"/>
    <w:rsid w:val="00E5321F"/>
    <w:rsid w:val="00E54567"/>
    <w:rsid w:val="00E54604"/>
    <w:rsid w:val="00E55112"/>
    <w:rsid w:val="00E56F29"/>
    <w:rsid w:val="00E57428"/>
    <w:rsid w:val="00E605F7"/>
    <w:rsid w:val="00E60B2C"/>
    <w:rsid w:val="00E612B9"/>
    <w:rsid w:val="00E62A9C"/>
    <w:rsid w:val="00E62B24"/>
    <w:rsid w:val="00E6457E"/>
    <w:rsid w:val="00E64DC7"/>
    <w:rsid w:val="00E650D2"/>
    <w:rsid w:val="00E6562D"/>
    <w:rsid w:val="00E6619D"/>
    <w:rsid w:val="00E666FD"/>
    <w:rsid w:val="00E66D04"/>
    <w:rsid w:val="00E677F8"/>
    <w:rsid w:val="00E71EBD"/>
    <w:rsid w:val="00E72518"/>
    <w:rsid w:val="00E73218"/>
    <w:rsid w:val="00E74407"/>
    <w:rsid w:val="00E746C3"/>
    <w:rsid w:val="00E75301"/>
    <w:rsid w:val="00E7542B"/>
    <w:rsid w:val="00E755EF"/>
    <w:rsid w:val="00E757B1"/>
    <w:rsid w:val="00E75825"/>
    <w:rsid w:val="00E75978"/>
    <w:rsid w:val="00E75CBB"/>
    <w:rsid w:val="00E76AF8"/>
    <w:rsid w:val="00E76BC3"/>
    <w:rsid w:val="00E76C0C"/>
    <w:rsid w:val="00E77308"/>
    <w:rsid w:val="00E77AF4"/>
    <w:rsid w:val="00E77D2D"/>
    <w:rsid w:val="00E80F0B"/>
    <w:rsid w:val="00E80F8D"/>
    <w:rsid w:val="00E81217"/>
    <w:rsid w:val="00E812D7"/>
    <w:rsid w:val="00E81570"/>
    <w:rsid w:val="00E817EF"/>
    <w:rsid w:val="00E81A70"/>
    <w:rsid w:val="00E82842"/>
    <w:rsid w:val="00E833A4"/>
    <w:rsid w:val="00E84261"/>
    <w:rsid w:val="00E847D6"/>
    <w:rsid w:val="00E855ED"/>
    <w:rsid w:val="00E862BC"/>
    <w:rsid w:val="00E86B9D"/>
    <w:rsid w:val="00E87791"/>
    <w:rsid w:val="00E877C2"/>
    <w:rsid w:val="00E91509"/>
    <w:rsid w:val="00E9243A"/>
    <w:rsid w:val="00E92B1D"/>
    <w:rsid w:val="00E9474C"/>
    <w:rsid w:val="00E9480A"/>
    <w:rsid w:val="00E94A3F"/>
    <w:rsid w:val="00E94FC1"/>
    <w:rsid w:val="00E95132"/>
    <w:rsid w:val="00E952CB"/>
    <w:rsid w:val="00E953BD"/>
    <w:rsid w:val="00E96F00"/>
    <w:rsid w:val="00E972C4"/>
    <w:rsid w:val="00E97302"/>
    <w:rsid w:val="00E9760E"/>
    <w:rsid w:val="00E97D4A"/>
    <w:rsid w:val="00EA0146"/>
    <w:rsid w:val="00EA0A30"/>
    <w:rsid w:val="00EA1CE8"/>
    <w:rsid w:val="00EA229A"/>
    <w:rsid w:val="00EA22DD"/>
    <w:rsid w:val="00EA2DB0"/>
    <w:rsid w:val="00EA4C5E"/>
    <w:rsid w:val="00EA5B0B"/>
    <w:rsid w:val="00EA5D62"/>
    <w:rsid w:val="00EA5F56"/>
    <w:rsid w:val="00EA63D2"/>
    <w:rsid w:val="00EA64C7"/>
    <w:rsid w:val="00EA6883"/>
    <w:rsid w:val="00EA697C"/>
    <w:rsid w:val="00EA72E1"/>
    <w:rsid w:val="00EA7DEA"/>
    <w:rsid w:val="00EA7EFB"/>
    <w:rsid w:val="00EB068D"/>
    <w:rsid w:val="00EB1285"/>
    <w:rsid w:val="00EB14B5"/>
    <w:rsid w:val="00EB1768"/>
    <w:rsid w:val="00EB2151"/>
    <w:rsid w:val="00EB269A"/>
    <w:rsid w:val="00EB2884"/>
    <w:rsid w:val="00EB3F0C"/>
    <w:rsid w:val="00EB4B11"/>
    <w:rsid w:val="00EB5F75"/>
    <w:rsid w:val="00EB7C88"/>
    <w:rsid w:val="00EC0440"/>
    <w:rsid w:val="00EC09CB"/>
    <w:rsid w:val="00EC18C9"/>
    <w:rsid w:val="00EC1909"/>
    <w:rsid w:val="00EC1CF6"/>
    <w:rsid w:val="00EC34A6"/>
    <w:rsid w:val="00EC3F5D"/>
    <w:rsid w:val="00EC6981"/>
    <w:rsid w:val="00EC69FA"/>
    <w:rsid w:val="00EC6B6A"/>
    <w:rsid w:val="00EC6C85"/>
    <w:rsid w:val="00EC6C9A"/>
    <w:rsid w:val="00ED0292"/>
    <w:rsid w:val="00ED0667"/>
    <w:rsid w:val="00ED103A"/>
    <w:rsid w:val="00ED179F"/>
    <w:rsid w:val="00ED274C"/>
    <w:rsid w:val="00ED626C"/>
    <w:rsid w:val="00ED64A2"/>
    <w:rsid w:val="00ED6635"/>
    <w:rsid w:val="00ED689F"/>
    <w:rsid w:val="00ED6DEF"/>
    <w:rsid w:val="00ED6EB2"/>
    <w:rsid w:val="00ED7450"/>
    <w:rsid w:val="00EE1A84"/>
    <w:rsid w:val="00EE27C9"/>
    <w:rsid w:val="00EE4FE7"/>
    <w:rsid w:val="00EE5310"/>
    <w:rsid w:val="00EE5D03"/>
    <w:rsid w:val="00EE5F6F"/>
    <w:rsid w:val="00EE79A8"/>
    <w:rsid w:val="00EF000A"/>
    <w:rsid w:val="00EF0DA8"/>
    <w:rsid w:val="00EF161D"/>
    <w:rsid w:val="00EF23C7"/>
    <w:rsid w:val="00EF431E"/>
    <w:rsid w:val="00EF54AB"/>
    <w:rsid w:val="00EF553F"/>
    <w:rsid w:val="00EF5F22"/>
    <w:rsid w:val="00EF678A"/>
    <w:rsid w:val="00EF67A4"/>
    <w:rsid w:val="00EF77BC"/>
    <w:rsid w:val="00F00A2B"/>
    <w:rsid w:val="00F00DF2"/>
    <w:rsid w:val="00F0101B"/>
    <w:rsid w:val="00F0291B"/>
    <w:rsid w:val="00F02B5D"/>
    <w:rsid w:val="00F039AE"/>
    <w:rsid w:val="00F04995"/>
    <w:rsid w:val="00F049B3"/>
    <w:rsid w:val="00F04BF6"/>
    <w:rsid w:val="00F050CE"/>
    <w:rsid w:val="00F06594"/>
    <w:rsid w:val="00F06E1A"/>
    <w:rsid w:val="00F07365"/>
    <w:rsid w:val="00F10314"/>
    <w:rsid w:val="00F103CB"/>
    <w:rsid w:val="00F10C3B"/>
    <w:rsid w:val="00F11604"/>
    <w:rsid w:val="00F11A41"/>
    <w:rsid w:val="00F11BA4"/>
    <w:rsid w:val="00F124CA"/>
    <w:rsid w:val="00F130C7"/>
    <w:rsid w:val="00F15857"/>
    <w:rsid w:val="00F161E8"/>
    <w:rsid w:val="00F16631"/>
    <w:rsid w:val="00F16D93"/>
    <w:rsid w:val="00F17A83"/>
    <w:rsid w:val="00F20997"/>
    <w:rsid w:val="00F21210"/>
    <w:rsid w:val="00F2183F"/>
    <w:rsid w:val="00F21944"/>
    <w:rsid w:val="00F22838"/>
    <w:rsid w:val="00F23E0A"/>
    <w:rsid w:val="00F24755"/>
    <w:rsid w:val="00F24D15"/>
    <w:rsid w:val="00F26099"/>
    <w:rsid w:val="00F26752"/>
    <w:rsid w:val="00F268A2"/>
    <w:rsid w:val="00F26DBF"/>
    <w:rsid w:val="00F27156"/>
    <w:rsid w:val="00F27494"/>
    <w:rsid w:val="00F27B29"/>
    <w:rsid w:val="00F30B9C"/>
    <w:rsid w:val="00F30F3C"/>
    <w:rsid w:val="00F31C83"/>
    <w:rsid w:val="00F3346A"/>
    <w:rsid w:val="00F33992"/>
    <w:rsid w:val="00F33C46"/>
    <w:rsid w:val="00F34365"/>
    <w:rsid w:val="00F344E3"/>
    <w:rsid w:val="00F35121"/>
    <w:rsid w:val="00F35B9D"/>
    <w:rsid w:val="00F362DA"/>
    <w:rsid w:val="00F36FF7"/>
    <w:rsid w:val="00F373BB"/>
    <w:rsid w:val="00F37ADC"/>
    <w:rsid w:val="00F40A5D"/>
    <w:rsid w:val="00F40E4A"/>
    <w:rsid w:val="00F4144C"/>
    <w:rsid w:val="00F415EF"/>
    <w:rsid w:val="00F41704"/>
    <w:rsid w:val="00F4211A"/>
    <w:rsid w:val="00F42189"/>
    <w:rsid w:val="00F43091"/>
    <w:rsid w:val="00F43114"/>
    <w:rsid w:val="00F44038"/>
    <w:rsid w:val="00F446AD"/>
    <w:rsid w:val="00F462C6"/>
    <w:rsid w:val="00F46B18"/>
    <w:rsid w:val="00F46F18"/>
    <w:rsid w:val="00F50C17"/>
    <w:rsid w:val="00F53FB8"/>
    <w:rsid w:val="00F53FC1"/>
    <w:rsid w:val="00F5406D"/>
    <w:rsid w:val="00F54CB6"/>
    <w:rsid w:val="00F556CE"/>
    <w:rsid w:val="00F55B1C"/>
    <w:rsid w:val="00F56BCF"/>
    <w:rsid w:val="00F6083A"/>
    <w:rsid w:val="00F60BF0"/>
    <w:rsid w:val="00F6143F"/>
    <w:rsid w:val="00F637FD"/>
    <w:rsid w:val="00F647A0"/>
    <w:rsid w:val="00F64938"/>
    <w:rsid w:val="00F653C0"/>
    <w:rsid w:val="00F65490"/>
    <w:rsid w:val="00F65860"/>
    <w:rsid w:val="00F65E59"/>
    <w:rsid w:val="00F66B48"/>
    <w:rsid w:val="00F66DD6"/>
    <w:rsid w:val="00F675D6"/>
    <w:rsid w:val="00F67E74"/>
    <w:rsid w:val="00F704D3"/>
    <w:rsid w:val="00F70916"/>
    <w:rsid w:val="00F711A4"/>
    <w:rsid w:val="00F71209"/>
    <w:rsid w:val="00F71438"/>
    <w:rsid w:val="00F71B4F"/>
    <w:rsid w:val="00F72274"/>
    <w:rsid w:val="00F73165"/>
    <w:rsid w:val="00F73A58"/>
    <w:rsid w:val="00F748AA"/>
    <w:rsid w:val="00F77188"/>
    <w:rsid w:val="00F77A8D"/>
    <w:rsid w:val="00F80346"/>
    <w:rsid w:val="00F80495"/>
    <w:rsid w:val="00F805AB"/>
    <w:rsid w:val="00F80659"/>
    <w:rsid w:val="00F807EF"/>
    <w:rsid w:val="00F80CDE"/>
    <w:rsid w:val="00F82377"/>
    <w:rsid w:val="00F83743"/>
    <w:rsid w:val="00F8405D"/>
    <w:rsid w:val="00F841BF"/>
    <w:rsid w:val="00F84379"/>
    <w:rsid w:val="00F84C72"/>
    <w:rsid w:val="00F852CC"/>
    <w:rsid w:val="00F8557C"/>
    <w:rsid w:val="00F86034"/>
    <w:rsid w:val="00F869C9"/>
    <w:rsid w:val="00F86A85"/>
    <w:rsid w:val="00F876E0"/>
    <w:rsid w:val="00F87CEC"/>
    <w:rsid w:val="00F90F69"/>
    <w:rsid w:val="00F91063"/>
    <w:rsid w:val="00F91549"/>
    <w:rsid w:val="00F9217C"/>
    <w:rsid w:val="00F92480"/>
    <w:rsid w:val="00F92708"/>
    <w:rsid w:val="00F932F1"/>
    <w:rsid w:val="00F93427"/>
    <w:rsid w:val="00F934EC"/>
    <w:rsid w:val="00F93D71"/>
    <w:rsid w:val="00F94584"/>
    <w:rsid w:val="00F95A38"/>
    <w:rsid w:val="00F95F2F"/>
    <w:rsid w:val="00F96075"/>
    <w:rsid w:val="00F96266"/>
    <w:rsid w:val="00F971CD"/>
    <w:rsid w:val="00F97764"/>
    <w:rsid w:val="00FA0DA1"/>
    <w:rsid w:val="00FA0DAD"/>
    <w:rsid w:val="00FA1614"/>
    <w:rsid w:val="00FA16B4"/>
    <w:rsid w:val="00FA19F1"/>
    <w:rsid w:val="00FA1B32"/>
    <w:rsid w:val="00FA3116"/>
    <w:rsid w:val="00FA32A9"/>
    <w:rsid w:val="00FA3801"/>
    <w:rsid w:val="00FA3B94"/>
    <w:rsid w:val="00FA421C"/>
    <w:rsid w:val="00FA4B82"/>
    <w:rsid w:val="00FA4FC5"/>
    <w:rsid w:val="00FA5585"/>
    <w:rsid w:val="00FA56FF"/>
    <w:rsid w:val="00FA5D3C"/>
    <w:rsid w:val="00FA7859"/>
    <w:rsid w:val="00FA7918"/>
    <w:rsid w:val="00FA7EFD"/>
    <w:rsid w:val="00FB20B9"/>
    <w:rsid w:val="00FB223E"/>
    <w:rsid w:val="00FB2F6E"/>
    <w:rsid w:val="00FB3B70"/>
    <w:rsid w:val="00FB644B"/>
    <w:rsid w:val="00FB69AA"/>
    <w:rsid w:val="00FB6BB5"/>
    <w:rsid w:val="00FB744F"/>
    <w:rsid w:val="00FB76C8"/>
    <w:rsid w:val="00FC1393"/>
    <w:rsid w:val="00FC1B13"/>
    <w:rsid w:val="00FC2DF7"/>
    <w:rsid w:val="00FC2F8B"/>
    <w:rsid w:val="00FC3284"/>
    <w:rsid w:val="00FC3822"/>
    <w:rsid w:val="00FC5FC1"/>
    <w:rsid w:val="00FC652D"/>
    <w:rsid w:val="00FC7BFD"/>
    <w:rsid w:val="00FD0F0C"/>
    <w:rsid w:val="00FD1591"/>
    <w:rsid w:val="00FD2012"/>
    <w:rsid w:val="00FD2295"/>
    <w:rsid w:val="00FD2772"/>
    <w:rsid w:val="00FD2AD7"/>
    <w:rsid w:val="00FD36C0"/>
    <w:rsid w:val="00FD3EA2"/>
    <w:rsid w:val="00FD4945"/>
    <w:rsid w:val="00FD6EE6"/>
    <w:rsid w:val="00FD7DD7"/>
    <w:rsid w:val="00FE16BA"/>
    <w:rsid w:val="00FE298C"/>
    <w:rsid w:val="00FE2BCD"/>
    <w:rsid w:val="00FE2C34"/>
    <w:rsid w:val="00FE359C"/>
    <w:rsid w:val="00FE3CE8"/>
    <w:rsid w:val="00FE45ED"/>
    <w:rsid w:val="00FE54AD"/>
    <w:rsid w:val="00FE5C11"/>
    <w:rsid w:val="00FE5EBD"/>
    <w:rsid w:val="00FF2503"/>
    <w:rsid w:val="00FF3C32"/>
    <w:rsid w:val="00FF489E"/>
    <w:rsid w:val="00FF51A4"/>
    <w:rsid w:val="00FF5965"/>
    <w:rsid w:val="00FF6974"/>
    <w:rsid w:val="00FF6CE7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  <w:rPr>
      <w:rFonts w:ascii="Arial" w:hAnsi="Arial" w:cs="Arial"/>
      <w:color w:val="auto"/>
      <w:sz w:val="22"/>
      <w:szCs w:val="22"/>
      <w:u w:val="single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1F2F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F2F12"/>
    <w:rPr>
      <w:b/>
      <w:bCs/>
      <w:color w:val="000000"/>
    </w:rPr>
  </w:style>
  <w:style w:type="character" w:styleId="EndnoteReference">
    <w:name w:val="endnote reference"/>
    <w:uiPriority w:val="99"/>
    <w:semiHidden/>
    <w:rsid w:val="001F2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ember\Graphs%20November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ovember\Graphs%20November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solidFill>
                  <a:srgbClr val="000000"/>
                </a:solidFill>
                <a:latin typeface="Calibri"/>
              </a:rPr>
              <a:t>(σύνολο και κατά φύλο) τους τελευταίους 12 μήνες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rich>
      </c:tx>
      <c:layout>
        <c:manualLayout>
          <c:xMode val="edge"/>
          <c:yMode val="edge"/>
          <c:x val="0.15187376725838217"/>
          <c:y val="3.558718861209972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020977029034162"/>
          <c:y val="0.25403228706000791"/>
          <c:w val="0.7120328006336486"/>
          <c:h val="0.31318818243805385"/>
        </c:manualLayout>
      </c:layout>
      <c:lineChart>
        <c:grouping val="standard"/>
        <c:ser>
          <c:idx val="0"/>
          <c:order val="0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marker>
            <c:symbol val="none"/>
          </c:marker>
          <c:cat>
            <c:multiLvlStrRef>
              <c:f>'total and gender '!$A$36:$B$48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'total and gender '!$E$36:$E$48</c:f>
              <c:numCache>
                <c:formatCode>General</c:formatCode>
                <c:ptCount val="13"/>
                <c:pt idx="0">
                  <c:v>24495</c:v>
                </c:pt>
                <c:pt idx="1">
                  <c:v>24647</c:v>
                </c:pt>
                <c:pt idx="2">
                  <c:v>25712</c:v>
                </c:pt>
                <c:pt idx="3">
                  <c:v>25908</c:v>
                </c:pt>
                <c:pt idx="4">
                  <c:v>25631</c:v>
                </c:pt>
                <c:pt idx="5">
                  <c:v>22396</c:v>
                </c:pt>
                <c:pt idx="6">
                  <c:v>20910</c:v>
                </c:pt>
                <c:pt idx="7">
                  <c:v>22742</c:v>
                </c:pt>
                <c:pt idx="8">
                  <c:v>24296</c:v>
                </c:pt>
                <c:pt idx="9">
                  <c:v>23647</c:v>
                </c:pt>
                <c:pt idx="10">
                  <c:v>21335</c:v>
                </c:pt>
                <c:pt idx="11">
                  <c:v>20059</c:v>
                </c:pt>
                <c:pt idx="12">
                  <c:v>23142</c:v>
                </c:pt>
              </c:numCache>
            </c:numRef>
          </c:val>
        </c:ser>
        <c:ser>
          <c:idx val="1"/>
          <c:order val="1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marker>
            <c:symbol val="none"/>
          </c:marker>
          <c:cat>
            <c:multiLvlStrRef>
              <c:f>'total and gender '!$A$36:$B$48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'total and gender '!$D$36:$D$48</c:f>
              <c:numCache>
                <c:formatCode>General</c:formatCode>
                <c:ptCount val="13"/>
                <c:pt idx="0">
                  <c:v>24839</c:v>
                </c:pt>
                <c:pt idx="1">
                  <c:v>25820</c:v>
                </c:pt>
                <c:pt idx="2">
                  <c:v>27071</c:v>
                </c:pt>
                <c:pt idx="3">
                  <c:v>27296</c:v>
                </c:pt>
                <c:pt idx="4">
                  <c:v>27141</c:v>
                </c:pt>
                <c:pt idx="5">
                  <c:v>24362</c:v>
                </c:pt>
                <c:pt idx="6">
                  <c:v>22858</c:v>
                </c:pt>
                <c:pt idx="7">
                  <c:v>22183</c:v>
                </c:pt>
                <c:pt idx="8">
                  <c:v>22431</c:v>
                </c:pt>
                <c:pt idx="9">
                  <c:v>21936</c:v>
                </c:pt>
                <c:pt idx="10">
                  <c:v>21682</c:v>
                </c:pt>
                <c:pt idx="11">
                  <c:v>21275</c:v>
                </c:pt>
                <c:pt idx="12">
                  <c:v>24461</c:v>
                </c:pt>
              </c:numCache>
            </c:numRef>
          </c:val>
        </c:ser>
        <c:ser>
          <c:idx val="2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marker>
            <c:symbol val="none"/>
          </c:marker>
          <c:cat>
            <c:multiLvlStrRef>
              <c:f>'total and gender '!$A$36:$B$48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'total and gender '!$C$36:$C$48</c:f>
              <c:numCache>
                <c:formatCode>#,##0</c:formatCode>
                <c:ptCount val="13"/>
                <c:pt idx="0">
                  <c:v>49334</c:v>
                </c:pt>
                <c:pt idx="1">
                  <c:v>50467</c:v>
                </c:pt>
                <c:pt idx="2">
                  <c:v>52783</c:v>
                </c:pt>
                <c:pt idx="3">
                  <c:v>53204</c:v>
                </c:pt>
                <c:pt idx="4">
                  <c:v>52772</c:v>
                </c:pt>
                <c:pt idx="5">
                  <c:v>46758</c:v>
                </c:pt>
                <c:pt idx="6">
                  <c:v>43768</c:v>
                </c:pt>
                <c:pt idx="7">
                  <c:v>44925</c:v>
                </c:pt>
                <c:pt idx="8">
                  <c:v>46727</c:v>
                </c:pt>
                <c:pt idx="9">
                  <c:v>45583</c:v>
                </c:pt>
                <c:pt idx="10">
                  <c:v>43017</c:v>
                </c:pt>
                <c:pt idx="11">
                  <c:v>41334</c:v>
                </c:pt>
                <c:pt idx="12">
                  <c:v>47603</c:v>
                </c:pt>
              </c:numCache>
            </c:numRef>
          </c:val>
        </c:ser>
        <c:marker val="1"/>
        <c:axId val="93575808"/>
        <c:axId val="93578368"/>
      </c:lineChart>
      <c:catAx>
        <c:axId val="935758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578368"/>
        <c:crosses val="autoZero"/>
        <c:auto val="1"/>
        <c:lblAlgn val="ctr"/>
        <c:lblOffset val="100"/>
      </c:catAx>
      <c:valAx>
        <c:axId val="93578368"/>
        <c:scaling>
          <c:orientation val="minMax"/>
          <c:min val="50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575808"/>
        <c:crosses val="autoZero"/>
        <c:crossBetween val="between"/>
        <c:majorUnit val="10000"/>
      </c:valAx>
    </c:plotArea>
    <c:legend>
      <c:legendPos val="r"/>
      <c:layout>
        <c:manualLayout>
          <c:xMode val="edge"/>
          <c:yMode val="edge"/>
          <c:x val="0.82840240900119999"/>
          <c:y val="0.27153525329881706"/>
          <c:w val="0.16370808678501189"/>
          <c:h val="0.31316725978647686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2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marker>
            <c:symbol val="none"/>
          </c:marker>
          <c:cat>
            <c:multiLvlStrRef>
              <c:f>'επαρχία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'επαρχία '!$X$3:$AJ$3</c:f>
              <c:numCache>
                <c:formatCode>General</c:formatCode>
                <c:ptCount val="13"/>
                <c:pt idx="0">
                  <c:v>16185</c:v>
                </c:pt>
                <c:pt idx="1">
                  <c:v>15973</c:v>
                </c:pt>
                <c:pt idx="2">
                  <c:v>16519</c:v>
                </c:pt>
                <c:pt idx="3">
                  <c:v>16632</c:v>
                </c:pt>
                <c:pt idx="4">
                  <c:v>16835</c:v>
                </c:pt>
                <c:pt idx="5">
                  <c:v>16024</c:v>
                </c:pt>
                <c:pt idx="6">
                  <c:v>15670</c:v>
                </c:pt>
                <c:pt idx="7">
                  <c:v>16502</c:v>
                </c:pt>
                <c:pt idx="8">
                  <c:v>17067</c:v>
                </c:pt>
                <c:pt idx="9">
                  <c:v>16958</c:v>
                </c:pt>
                <c:pt idx="10">
                  <c:v>15845</c:v>
                </c:pt>
                <c:pt idx="11">
                  <c:v>14712</c:v>
                </c:pt>
                <c:pt idx="12">
                  <c:v>14325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marker>
            <c:symbol val="none"/>
          </c:marker>
          <c:cat>
            <c:multiLvlStrRef>
              <c:f>'επαρχία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'επαρχία '!$X$4:$AJ$4</c:f>
              <c:numCache>
                <c:formatCode>General</c:formatCode>
                <c:ptCount val="13"/>
                <c:pt idx="0">
                  <c:v>4932</c:v>
                </c:pt>
                <c:pt idx="1">
                  <c:v>5578</c:v>
                </c:pt>
                <c:pt idx="2">
                  <c:v>5911</c:v>
                </c:pt>
                <c:pt idx="3">
                  <c:v>5903</c:v>
                </c:pt>
                <c:pt idx="4">
                  <c:v>5544</c:v>
                </c:pt>
                <c:pt idx="5">
                  <c:v>3283</c:v>
                </c:pt>
                <c:pt idx="6">
                  <c:v>2008</c:v>
                </c:pt>
                <c:pt idx="7">
                  <c:v>1870</c:v>
                </c:pt>
                <c:pt idx="8">
                  <c:v>1856</c:v>
                </c:pt>
                <c:pt idx="9">
                  <c:v>1776</c:v>
                </c:pt>
                <c:pt idx="10">
                  <c:v>1749</c:v>
                </c:pt>
                <c:pt idx="11">
                  <c:v>2020</c:v>
                </c:pt>
                <c:pt idx="12">
                  <c:v>5455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marker>
            <c:symbol val="none"/>
          </c:marker>
          <c:cat>
            <c:multiLvlStrRef>
              <c:f>'επαρχία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'επαρχία '!$X$5:$AJ$5</c:f>
              <c:numCache>
                <c:formatCode>General</c:formatCode>
                <c:ptCount val="13"/>
                <c:pt idx="0">
                  <c:v>9620</c:v>
                </c:pt>
                <c:pt idx="1">
                  <c:v>9716</c:v>
                </c:pt>
                <c:pt idx="2">
                  <c:v>10193</c:v>
                </c:pt>
                <c:pt idx="3">
                  <c:v>10255</c:v>
                </c:pt>
                <c:pt idx="4">
                  <c:v>10114</c:v>
                </c:pt>
                <c:pt idx="5">
                  <c:v>9005</c:v>
                </c:pt>
                <c:pt idx="6">
                  <c:v>8514</c:v>
                </c:pt>
                <c:pt idx="7">
                  <c:v>8600</c:v>
                </c:pt>
                <c:pt idx="8">
                  <c:v>8891</c:v>
                </c:pt>
                <c:pt idx="9">
                  <c:v>8612</c:v>
                </c:pt>
                <c:pt idx="10">
                  <c:v>8249</c:v>
                </c:pt>
                <c:pt idx="11">
                  <c:v>8086</c:v>
                </c:pt>
                <c:pt idx="12">
                  <c:v>9343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'επαρχία '!$X$6:$AJ$6</c:f>
              <c:numCache>
                <c:formatCode>General</c:formatCode>
                <c:ptCount val="13"/>
                <c:pt idx="0">
                  <c:v>12951</c:v>
                </c:pt>
                <c:pt idx="1">
                  <c:v>12967</c:v>
                </c:pt>
                <c:pt idx="2">
                  <c:v>13552</c:v>
                </c:pt>
                <c:pt idx="3">
                  <c:v>13745</c:v>
                </c:pt>
                <c:pt idx="4">
                  <c:v>13769</c:v>
                </c:pt>
                <c:pt idx="5">
                  <c:v>12865</c:v>
                </c:pt>
                <c:pt idx="6">
                  <c:v>12533</c:v>
                </c:pt>
                <c:pt idx="7">
                  <c:v>13094</c:v>
                </c:pt>
                <c:pt idx="8">
                  <c:v>13950</c:v>
                </c:pt>
                <c:pt idx="9">
                  <c:v>13417</c:v>
                </c:pt>
                <c:pt idx="10">
                  <c:v>12553</c:v>
                </c:pt>
                <c:pt idx="11">
                  <c:v>11960</c:v>
                </c:pt>
                <c:pt idx="12">
                  <c:v>12428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marker>
            <c:symbol val="none"/>
          </c:marker>
          <c:cat>
            <c:multiLvlStrRef>
              <c:f>'επαρχία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'επαρχία '!$X$7:$AJ$7</c:f>
              <c:numCache>
                <c:formatCode>General</c:formatCode>
                <c:ptCount val="13"/>
                <c:pt idx="0">
                  <c:v>5646</c:v>
                </c:pt>
                <c:pt idx="1">
                  <c:v>6233</c:v>
                </c:pt>
                <c:pt idx="2">
                  <c:v>6608</c:v>
                </c:pt>
                <c:pt idx="3">
                  <c:v>6669</c:v>
                </c:pt>
                <c:pt idx="4">
                  <c:v>6510</c:v>
                </c:pt>
                <c:pt idx="5">
                  <c:v>5581</c:v>
                </c:pt>
                <c:pt idx="6">
                  <c:v>5043</c:v>
                </c:pt>
                <c:pt idx="7">
                  <c:v>4859</c:v>
                </c:pt>
                <c:pt idx="8">
                  <c:v>4963</c:v>
                </c:pt>
                <c:pt idx="9">
                  <c:v>4820</c:v>
                </c:pt>
                <c:pt idx="10">
                  <c:v>4621</c:v>
                </c:pt>
                <c:pt idx="11">
                  <c:v>4556</c:v>
                </c:pt>
                <c:pt idx="12">
                  <c:v>6052</c:v>
                </c:pt>
              </c:numCache>
            </c:numRef>
          </c:val>
        </c:ser>
        <c:marker val="1"/>
        <c:axId val="94372608"/>
        <c:axId val="94374144"/>
      </c:lineChart>
      <c:catAx>
        <c:axId val="9437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4374144"/>
        <c:crosses val="autoZero"/>
        <c:auto val="1"/>
        <c:lblAlgn val="ctr"/>
        <c:lblOffset val="100"/>
      </c:catAx>
      <c:valAx>
        <c:axId val="94374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43726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6"/>
          <c:w val="0.27032967032967908"/>
          <c:h val="0.52525252525251742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marker>
            <c:symbol val="none"/>
          </c:marker>
          <c:cat>
            <c:multiLvlStrRef>
              <c:f>'οικονομική '!$Y$1:$AK$2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'οικονομική '!$Y$9:$AK$9</c:f>
              <c:numCache>
                <c:formatCode>General</c:formatCode>
                <c:ptCount val="13"/>
                <c:pt idx="0">
                  <c:v>9260</c:v>
                </c:pt>
                <c:pt idx="1">
                  <c:v>8958</c:v>
                </c:pt>
                <c:pt idx="2">
                  <c:v>9190</c:v>
                </c:pt>
                <c:pt idx="3">
                  <c:v>9229</c:v>
                </c:pt>
                <c:pt idx="4">
                  <c:v>9235</c:v>
                </c:pt>
                <c:pt idx="5">
                  <c:v>8513</c:v>
                </c:pt>
                <c:pt idx="6">
                  <c:v>8169</c:v>
                </c:pt>
                <c:pt idx="7">
                  <c:v>8063</c:v>
                </c:pt>
                <c:pt idx="8">
                  <c:v>8173</c:v>
                </c:pt>
                <c:pt idx="9">
                  <c:v>7914</c:v>
                </c:pt>
                <c:pt idx="10">
                  <c:v>7907</c:v>
                </c:pt>
                <c:pt idx="11">
                  <c:v>7746</c:v>
                </c:pt>
                <c:pt idx="12">
                  <c:v>8075</c:v>
                </c:pt>
              </c:numCache>
            </c:numRef>
          </c:val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marker>
            <c:symbol val="none"/>
          </c:marker>
          <c:cat>
            <c:multiLvlStrRef>
              <c:f>'οικονομική '!$Y$1:$AK$2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'οικονομική '!$Y$11:$AK$11</c:f>
              <c:numCache>
                <c:formatCode>General</c:formatCode>
                <c:ptCount val="13"/>
                <c:pt idx="0">
                  <c:v>7856</c:v>
                </c:pt>
                <c:pt idx="1">
                  <c:v>8863</c:v>
                </c:pt>
                <c:pt idx="2">
                  <c:v>9356</c:v>
                </c:pt>
                <c:pt idx="3">
                  <c:v>9324</c:v>
                </c:pt>
                <c:pt idx="4">
                  <c:v>8644</c:v>
                </c:pt>
                <c:pt idx="5">
                  <c:v>5735</c:v>
                </c:pt>
                <c:pt idx="6">
                  <c:v>4246</c:v>
                </c:pt>
                <c:pt idx="7">
                  <c:v>3864</c:v>
                </c:pt>
                <c:pt idx="8">
                  <c:v>3848</c:v>
                </c:pt>
                <c:pt idx="9">
                  <c:v>3767</c:v>
                </c:pt>
                <c:pt idx="10">
                  <c:v>3915</c:v>
                </c:pt>
                <c:pt idx="11">
                  <c:v>4391</c:v>
                </c:pt>
                <c:pt idx="12">
                  <c:v>9520</c:v>
                </c:pt>
              </c:numCache>
            </c:numRef>
          </c:val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marker>
            <c:symbol val="none"/>
          </c:marker>
          <c:cat>
            <c:multiLvlStrRef>
              <c:f>'οικονομική '!$Y$1:$AK$2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'οικονομική '!$Y$15:$AK$15</c:f>
              <c:numCache>
                <c:formatCode>General</c:formatCode>
                <c:ptCount val="13"/>
                <c:pt idx="0">
                  <c:v>3172</c:v>
                </c:pt>
                <c:pt idx="1">
                  <c:v>4439</c:v>
                </c:pt>
                <c:pt idx="2">
                  <c:v>5167</c:v>
                </c:pt>
                <c:pt idx="3">
                  <c:v>5415</c:v>
                </c:pt>
                <c:pt idx="4">
                  <c:v>5669</c:v>
                </c:pt>
                <c:pt idx="5">
                  <c:v>5456</c:v>
                </c:pt>
                <c:pt idx="6">
                  <c:v>4721</c:v>
                </c:pt>
                <c:pt idx="7">
                  <c:v>4701</c:v>
                </c:pt>
                <c:pt idx="8">
                  <c:v>4767</c:v>
                </c:pt>
                <c:pt idx="9">
                  <c:v>4659</c:v>
                </c:pt>
                <c:pt idx="10">
                  <c:v>3883</c:v>
                </c:pt>
                <c:pt idx="11">
                  <c:v>3685</c:v>
                </c:pt>
                <c:pt idx="12">
                  <c:v>4580</c:v>
                </c:pt>
              </c:numCache>
            </c:numRef>
          </c:val>
        </c:ser>
        <c:marker val="1"/>
        <c:axId val="114768512"/>
        <c:axId val="115401088"/>
      </c:lineChart>
      <c:catAx>
        <c:axId val="114768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15401088"/>
        <c:crosses val="autoZero"/>
        <c:auto val="1"/>
        <c:lblAlgn val="ctr"/>
        <c:lblOffset val="100"/>
      </c:catAx>
      <c:valAx>
        <c:axId val="1154010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1476851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5192331347967761"/>
          <c:h val="0.36253829915605795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84464951489321"/>
          <c:y val="0.28963468690281224"/>
          <c:w val="0.65944704164689982"/>
          <c:h val="0.38490536115010426"/>
        </c:manualLayout>
      </c:layout>
      <c:lineChart>
        <c:grouping val="standard"/>
        <c:ser>
          <c:idx val="0"/>
          <c:order val="0"/>
          <c:tx>
            <c:strRef>
              <c:f>'διάρκεια '!$A$6</c:f>
              <c:strCache>
                <c:ptCount val="1"/>
                <c:pt idx="0">
                  <c:v>6 ΜΗΝΕΣ -12 ΜΗΝΕΣ</c:v>
                </c:pt>
              </c:strCache>
            </c:strRef>
          </c:tx>
          <c:marker>
            <c:symbol val="none"/>
          </c:marker>
          <c:cat>
            <c:multiLvlStrRef>
              <c:f>'διάρκεια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'διάρκεια '!$X$6:$AJ$6</c:f>
              <c:numCache>
                <c:formatCode>General</c:formatCode>
                <c:ptCount val="13"/>
                <c:pt idx="0">
                  <c:v>10952</c:v>
                </c:pt>
                <c:pt idx="1">
                  <c:v>11277</c:v>
                </c:pt>
                <c:pt idx="2">
                  <c:v>10876</c:v>
                </c:pt>
                <c:pt idx="3">
                  <c:v>11557</c:v>
                </c:pt>
                <c:pt idx="4">
                  <c:v>11849</c:v>
                </c:pt>
                <c:pt idx="5">
                  <c:v>11491</c:v>
                </c:pt>
                <c:pt idx="6">
                  <c:v>10903</c:v>
                </c:pt>
                <c:pt idx="7">
                  <c:v>9664</c:v>
                </c:pt>
                <c:pt idx="8">
                  <c:v>9213</c:v>
                </c:pt>
                <c:pt idx="9">
                  <c:v>8242</c:v>
                </c:pt>
                <c:pt idx="10">
                  <c:v>7925</c:v>
                </c:pt>
                <c:pt idx="11">
                  <c:v>7363</c:v>
                </c:pt>
                <c:pt idx="12">
                  <c:v>7566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marker>
            <c:symbol val="none"/>
          </c:marker>
          <c:cat>
            <c:multiLvlStrRef>
              <c:f>'διάρκεια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'διάρκεια '!$X$7:$AJ$7</c:f>
              <c:numCache>
                <c:formatCode>General</c:formatCode>
                <c:ptCount val="13"/>
                <c:pt idx="0">
                  <c:v>8366</c:v>
                </c:pt>
                <c:pt idx="1">
                  <c:v>8673</c:v>
                </c:pt>
                <c:pt idx="2">
                  <c:v>9412</c:v>
                </c:pt>
                <c:pt idx="3">
                  <c:v>9765</c:v>
                </c:pt>
                <c:pt idx="4">
                  <c:v>10181</c:v>
                </c:pt>
                <c:pt idx="5">
                  <c:v>10593</c:v>
                </c:pt>
                <c:pt idx="6">
                  <c:v>11372</c:v>
                </c:pt>
                <c:pt idx="7">
                  <c:v>11426</c:v>
                </c:pt>
                <c:pt idx="8">
                  <c:v>11585</c:v>
                </c:pt>
                <c:pt idx="9">
                  <c:v>12219</c:v>
                </c:pt>
                <c:pt idx="10">
                  <c:v>12080</c:v>
                </c:pt>
                <c:pt idx="11">
                  <c:v>11999</c:v>
                </c:pt>
                <c:pt idx="12">
                  <c:v>12071</c:v>
                </c:pt>
              </c:numCache>
            </c:numRef>
          </c:val>
        </c:ser>
        <c:marker val="1"/>
        <c:axId val="129113088"/>
        <c:axId val="131909120"/>
      </c:lineChart>
      <c:catAx>
        <c:axId val="129113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31909120"/>
        <c:crosses val="autoZero"/>
        <c:auto val="1"/>
        <c:lblAlgn val="ctr"/>
        <c:lblOffset val="100"/>
      </c:catAx>
      <c:valAx>
        <c:axId val="131909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2911308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6902758207855804"/>
          <c:y val="0.28031268380609176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'!$X$3:$AJ$3</c:f>
              <c:numCache>
                <c:formatCode>#,##0</c:formatCode>
                <c:ptCount val="13"/>
                <c:pt idx="0">
                  <c:v>5395</c:v>
                </c:pt>
                <c:pt idx="1">
                  <c:v>5147</c:v>
                </c:pt>
                <c:pt idx="2">
                  <c:v>5518</c:v>
                </c:pt>
                <c:pt idx="3">
                  <c:v>5796</c:v>
                </c:pt>
                <c:pt idx="4">
                  <c:v>6150</c:v>
                </c:pt>
                <c:pt idx="5">
                  <c:v>5058</c:v>
                </c:pt>
                <c:pt idx="6">
                  <c:v>4513</c:v>
                </c:pt>
                <c:pt idx="7">
                  <c:v>4481</c:v>
                </c:pt>
                <c:pt idx="8">
                  <c:v>4808</c:v>
                </c:pt>
                <c:pt idx="9">
                  <c:v>4521</c:v>
                </c:pt>
                <c:pt idx="10">
                  <c:v>4466</c:v>
                </c:pt>
                <c:pt idx="11">
                  <c:v>4230</c:v>
                </c:pt>
                <c:pt idx="12">
                  <c:v>4734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'!$X$4:$AJ$4</c:f>
              <c:numCache>
                <c:formatCode>General</c:formatCode>
                <c:ptCount val="13"/>
                <c:pt idx="0">
                  <c:v>7823</c:v>
                </c:pt>
                <c:pt idx="1">
                  <c:v>7764</c:v>
                </c:pt>
                <c:pt idx="2">
                  <c:v>8204</c:v>
                </c:pt>
                <c:pt idx="3">
                  <c:v>8261</c:v>
                </c:pt>
                <c:pt idx="4">
                  <c:v>8355</c:v>
                </c:pt>
                <c:pt idx="5">
                  <c:v>7371</c:v>
                </c:pt>
                <c:pt idx="6">
                  <c:v>6717</c:v>
                </c:pt>
                <c:pt idx="7">
                  <c:v>7426</c:v>
                </c:pt>
                <c:pt idx="8">
                  <c:v>7861</c:v>
                </c:pt>
                <c:pt idx="9">
                  <c:v>7780</c:v>
                </c:pt>
                <c:pt idx="10">
                  <c:v>7107</c:v>
                </c:pt>
                <c:pt idx="11">
                  <c:v>6523</c:v>
                </c:pt>
                <c:pt idx="12">
                  <c:v>7427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'!$X$5:$AJ$5</c:f>
              <c:numCache>
                <c:formatCode>General</c:formatCode>
                <c:ptCount val="13"/>
                <c:pt idx="0">
                  <c:v>11255</c:v>
                </c:pt>
                <c:pt idx="1">
                  <c:v>11638</c:v>
                </c:pt>
                <c:pt idx="2">
                  <c:v>12053</c:v>
                </c:pt>
                <c:pt idx="3">
                  <c:v>12086</c:v>
                </c:pt>
                <c:pt idx="4">
                  <c:v>11750</c:v>
                </c:pt>
                <c:pt idx="5">
                  <c:v>10269</c:v>
                </c:pt>
                <c:pt idx="6">
                  <c:v>9672</c:v>
                </c:pt>
                <c:pt idx="7">
                  <c:v>10304</c:v>
                </c:pt>
                <c:pt idx="8">
                  <c:v>10941</c:v>
                </c:pt>
                <c:pt idx="9">
                  <c:v>10700</c:v>
                </c:pt>
                <c:pt idx="10">
                  <c:v>9891</c:v>
                </c:pt>
                <c:pt idx="11">
                  <c:v>9372</c:v>
                </c:pt>
                <c:pt idx="12">
                  <c:v>11125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'!$X$6:$AJ$6</c:f>
              <c:numCache>
                <c:formatCode>General</c:formatCode>
                <c:ptCount val="13"/>
                <c:pt idx="0">
                  <c:v>9627</c:v>
                </c:pt>
                <c:pt idx="1">
                  <c:v>9959</c:v>
                </c:pt>
                <c:pt idx="2">
                  <c:v>10404</c:v>
                </c:pt>
                <c:pt idx="3">
                  <c:v>10425</c:v>
                </c:pt>
                <c:pt idx="4">
                  <c:v>10094</c:v>
                </c:pt>
                <c:pt idx="5">
                  <c:v>8829</c:v>
                </c:pt>
                <c:pt idx="6">
                  <c:v>8255</c:v>
                </c:pt>
                <c:pt idx="7">
                  <c:v>8257</c:v>
                </c:pt>
                <c:pt idx="8">
                  <c:v>8478</c:v>
                </c:pt>
                <c:pt idx="9">
                  <c:v>8258</c:v>
                </c:pt>
                <c:pt idx="10">
                  <c:v>7746</c:v>
                </c:pt>
                <c:pt idx="11">
                  <c:v>7642</c:v>
                </c:pt>
                <c:pt idx="12">
                  <c:v>9179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'!$X$7:$AJ$7</c:f>
              <c:numCache>
                <c:formatCode>#,##0</c:formatCode>
                <c:ptCount val="13"/>
                <c:pt idx="0">
                  <c:v>11257</c:v>
                </c:pt>
                <c:pt idx="1">
                  <c:v>11832</c:v>
                </c:pt>
                <c:pt idx="2">
                  <c:v>12282</c:v>
                </c:pt>
                <c:pt idx="3">
                  <c:v>12308</c:v>
                </c:pt>
                <c:pt idx="4">
                  <c:v>12111</c:v>
                </c:pt>
                <c:pt idx="5">
                  <c:v>11112</c:v>
                </c:pt>
                <c:pt idx="6">
                  <c:v>10578</c:v>
                </c:pt>
                <c:pt idx="7">
                  <c:v>10498</c:v>
                </c:pt>
                <c:pt idx="8">
                  <c:v>10657</c:v>
                </c:pt>
                <c:pt idx="9">
                  <c:v>10417</c:v>
                </c:pt>
                <c:pt idx="10">
                  <c:v>9955</c:v>
                </c:pt>
                <c:pt idx="11">
                  <c:v>9813</c:v>
                </c:pt>
                <c:pt idx="12">
                  <c:v>11073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marker>
            <c:symbol val="none"/>
          </c:marker>
          <c:cat>
            <c:multiLvlStrRef>
              <c:f>'ηλικία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'ηλικία '!$X$8:$AJ$8</c:f>
              <c:numCache>
                <c:formatCode>General</c:formatCode>
                <c:ptCount val="13"/>
                <c:pt idx="0">
                  <c:v>3835</c:v>
                </c:pt>
                <c:pt idx="1">
                  <c:v>3980</c:v>
                </c:pt>
                <c:pt idx="2">
                  <c:v>4183</c:v>
                </c:pt>
                <c:pt idx="3">
                  <c:v>4193</c:v>
                </c:pt>
                <c:pt idx="4">
                  <c:v>4156</c:v>
                </c:pt>
                <c:pt idx="5">
                  <c:v>3967</c:v>
                </c:pt>
                <c:pt idx="6">
                  <c:v>3886</c:v>
                </c:pt>
                <c:pt idx="7">
                  <c:v>3807</c:v>
                </c:pt>
                <c:pt idx="8">
                  <c:v>3833</c:v>
                </c:pt>
                <c:pt idx="9">
                  <c:v>3747</c:v>
                </c:pt>
                <c:pt idx="10">
                  <c:v>3698</c:v>
                </c:pt>
                <c:pt idx="11">
                  <c:v>3592</c:v>
                </c:pt>
                <c:pt idx="12">
                  <c:v>3884</c:v>
                </c:pt>
              </c:numCache>
            </c:numRef>
          </c:val>
        </c:ser>
        <c:marker val="1"/>
        <c:axId val="136987008"/>
        <c:axId val="159850496"/>
      </c:lineChart>
      <c:catAx>
        <c:axId val="136987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9850496"/>
        <c:crosses val="autoZero"/>
        <c:auto val="1"/>
        <c:lblAlgn val="ctr"/>
        <c:lblOffset val="100"/>
      </c:catAx>
      <c:valAx>
        <c:axId val="159850496"/>
        <c:scaling>
          <c:orientation val="minMax"/>
          <c:min val="2000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98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μόρφωση!$X$8:$AJ$8</c:f>
              <c:numCache>
                <c:formatCode>#,##0</c:formatCode>
                <c:ptCount val="13"/>
                <c:pt idx="0">
                  <c:v>24884</c:v>
                </c:pt>
                <c:pt idx="1">
                  <c:v>25751</c:v>
                </c:pt>
                <c:pt idx="2">
                  <c:v>27003</c:v>
                </c:pt>
                <c:pt idx="3">
                  <c:v>27168</c:v>
                </c:pt>
                <c:pt idx="4">
                  <c:v>27014</c:v>
                </c:pt>
                <c:pt idx="5">
                  <c:v>23603</c:v>
                </c:pt>
                <c:pt idx="6">
                  <c:v>22046</c:v>
                </c:pt>
                <c:pt idx="7">
                  <c:v>21585</c:v>
                </c:pt>
                <c:pt idx="8">
                  <c:v>22108</c:v>
                </c:pt>
                <c:pt idx="9">
                  <c:v>21451</c:v>
                </c:pt>
                <c:pt idx="10">
                  <c:v>20545</c:v>
                </c:pt>
                <c:pt idx="11">
                  <c:v>20409</c:v>
                </c:pt>
                <c:pt idx="12">
                  <c:v>24185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μόρφωση!$X$9:$AJ$9</c:f>
              <c:numCache>
                <c:formatCode>#,##0</c:formatCode>
                <c:ptCount val="13"/>
                <c:pt idx="0">
                  <c:v>13450</c:v>
                </c:pt>
                <c:pt idx="1">
                  <c:v>13156</c:v>
                </c:pt>
                <c:pt idx="2">
                  <c:v>13638</c:v>
                </c:pt>
                <c:pt idx="3">
                  <c:v>13812</c:v>
                </c:pt>
                <c:pt idx="4">
                  <c:v>14079</c:v>
                </c:pt>
                <c:pt idx="5">
                  <c:v>13019</c:v>
                </c:pt>
                <c:pt idx="6">
                  <c:v>12467</c:v>
                </c:pt>
                <c:pt idx="7">
                  <c:v>14425</c:v>
                </c:pt>
                <c:pt idx="8">
                  <c:v>15692</c:v>
                </c:pt>
                <c:pt idx="9">
                  <c:v>15502</c:v>
                </c:pt>
                <c:pt idx="10">
                  <c:v>13885</c:v>
                </c:pt>
                <c:pt idx="11">
                  <c:v>12180</c:v>
                </c:pt>
                <c:pt idx="12">
                  <c:v>12315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μόρφωση!$X$5:$AJ$5</c:f>
              <c:numCache>
                <c:formatCode>#,##0</c:formatCode>
                <c:ptCount val="13"/>
                <c:pt idx="0">
                  <c:v>11000</c:v>
                </c:pt>
                <c:pt idx="1">
                  <c:v>11560</c:v>
                </c:pt>
                <c:pt idx="2">
                  <c:v>12142</c:v>
                </c:pt>
                <c:pt idx="3">
                  <c:v>12224</c:v>
                </c:pt>
                <c:pt idx="4">
                  <c:v>11679</c:v>
                </c:pt>
                <c:pt idx="5">
                  <c:v>10136</c:v>
                </c:pt>
                <c:pt idx="6">
                  <c:v>9255</c:v>
                </c:pt>
                <c:pt idx="7">
                  <c:v>8915</c:v>
                </c:pt>
                <c:pt idx="8">
                  <c:v>8927</c:v>
                </c:pt>
                <c:pt idx="9">
                  <c:v>8630</c:v>
                </c:pt>
                <c:pt idx="10">
                  <c:v>8587</c:v>
                </c:pt>
                <c:pt idx="11">
                  <c:v>8745</c:v>
                </c:pt>
                <c:pt idx="12">
                  <c:v>11103</c:v>
                </c:pt>
              </c:numCache>
            </c:numRef>
          </c:val>
        </c:ser>
        <c:marker val="1"/>
        <c:axId val="77453568"/>
        <c:axId val="77500416"/>
      </c:lineChart>
      <c:catAx>
        <c:axId val="77453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77500416"/>
        <c:crosses val="autoZero"/>
        <c:auto val="1"/>
        <c:lblAlgn val="ctr"/>
        <c:lblOffset val="100"/>
      </c:catAx>
      <c:valAx>
        <c:axId val="775004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774535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86"/>
          <c:y val="3.745332050752242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'υπηκοότητα '!$X$4:$AJ$4</c:f>
              <c:numCache>
                <c:formatCode>General</c:formatCode>
                <c:ptCount val="13"/>
                <c:pt idx="0">
                  <c:v>7329</c:v>
                </c:pt>
                <c:pt idx="1">
                  <c:v>7443</c:v>
                </c:pt>
                <c:pt idx="2">
                  <c:v>7854</c:v>
                </c:pt>
                <c:pt idx="3">
                  <c:v>7856</c:v>
                </c:pt>
                <c:pt idx="4">
                  <c:v>7464</c:v>
                </c:pt>
                <c:pt idx="5">
                  <c:v>5849</c:v>
                </c:pt>
                <c:pt idx="6">
                  <c:v>4930</c:v>
                </c:pt>
                <c:pt idx="7">
                  <c:v>4655</c:v>
                </c:pt>
                <c:pt idx="8">
                  <c:v>4558</c:v>
                </c:pt>
                <c:pt idx="9">
                  <c:v>4288</c:v>
                </c:pt>
                <c:pt idx="10">
                  <c:v>4278</c:v>
                </c:pt>
                <c:pt idx="11">
                  <c:v>4458</c:v>
                </c:pt>
                <c:pt idx="12">
                  <c:v>6904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marker>
            <c:symbol val="none"/>
          </c:marker>
          <c:cat>
            <c:multiLvlStrRef>
              <c:f>'υπηκοότητα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'υπηκοότητα '!$X$5:$AJ$5</c:f>
              <c:numCache>
                <c:formatCode>General</c:formatCode>
                <c:ptCount val="13"/>
                <c:pt idx="0">
                  <c:v>1784</c:v>
                </c:pt>
                <c:pt idx="1">
                  <c:v>1843</c:v>
                </c:pt>
                <c:pt idx="2">
                  <c:v>1915</c:v>
                </c:pt>
                <c:pt idx="3">
                  <c:v>1930</c:v>
                </c:pt>
                <c:pt idx="4">
                  <c:v>1876</c:v>
                </c:pt>
                <c:pt idx="5">
                  <c:v>1666</c:v>
                </c:pt>
                <c:pt idx="6">
                  <c:v>1545</c:v>
                </c:pt>
                <c:pt idx="7">
                  <c:v>1473</c:v>
                </c:pt>
                <c:pt idx="8">
                  <c:v>1478</c:v>
                </c:pt>
                <c:pt idx="9">
                  <c:v>1468</c:v>
                </c:pt>
                <c:pt idx="10">
                  <c:v>1540</c:v>
                </c:pt>
                <c:pt idx="11">
                  <c:v>1564</c:v>
                </c:pt>
                <c:pt idx="12">
                  <c:v>1889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marker>
            <c:symbol val="none"/>
          </c:marker>
          <c:cat>
            <c:multiLvlStrRef>
              <c:f>'υπηκοότητα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'υπηκοότητα '!$X$8:$AJ$8</c:f>
              <c:numCache>
                <c:formatCode>General</c:formatCode>
                <c:ptCount val="13"/>
                <c:pt idx="0">
                  <c:v>70</c:v>
                </c:pt>
                <c:pt idx="1">
                  <c:v>72</c:v>
                </c:pt>
                <c:pt idx="2">
                  <c:v>75</c:v>
                </c:pt>
                <c:pt idx="3">
                  <c:v>76</c:v>
                </c:pt>
                <c:pt idx="4">
                  <c:v>99</c:v>
                </c:pt>
                <c:pt idx="5">
                  <c:v>117</c:v>
                </c:pt>
                <c:pt idx="6">
                  <c:v>125</c:v>
                </c:pt>
                <c:pt idx="7">
                  <c:v>150</c:v>
                </c:pt>
                <c:pt idx="8">
                  <c:v>181</c:v>
                </c:pt>
                <c:pt idx="9">
                  <c:v>189</c:v>
                </c:pt>
                <c:pt idx="10">
                  <c:v>201</c:v>
                </c:pt>
                <c:pt idx="11">
                  <c:v>232</c:v>
                </c:pt>
                <c:pt idx="12">
                  <c:v>246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marker>
            <c:symbol val="none"/>
          </c:marker>
          <c:cat>
            <c:multiLvlStrRef>
              <c:f>'υπηκοότητα '!$X$1:$AJ$2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'υπηκοότητα '!$X$3:$AJ$3</c:f>
              <c:numCache>
                <c:formatCode>General</c:formatCode>
                <c:ptCount val="13"/>
                <c:pt idx="0">
                  <c:v>38016</c:v>
                </c:pt>
                <c:pt idx="1">
                  <c:v>38982</c:v>
                </c:pt>
                <c:pt idx="2">
                  <c:v>40742</c:v>
                </c:pt>
                <c:pt idx="3">
                  <c:v>41118</c:v>
                </c:pt>
                <c:pt idx="4">
                  <c:v>41145</c:v>
                </c:pt>
                <c:pt idx="5">
                  <c:v>37166</c:v>
                </c:pt>
                <c:pt idx="6">
                  <c:v>35312</c:v>
                </c:pt>
                <c:pt idx="7">
                  <c:v>36860</c:v>
                </c:pt>
                <c:pt idx="8">
                  <c:v>38701</c:v>
                </c:pt>
                <c:pt idx="9">
                  <c:v>37867</c:v>
                </c:pt>
                <c:pt idx="10">
                  <c:v>35254</c:v>
                </c:pt>
                <c:pt idx="11">
                  <c:v>33336</c:v>
                </c:pt>
                <c:pt idx="12">
                  <c:v>36432</c:v>
                </c:pt>
              </c:numCache>
            </c:numRef>
          </c:val>
        </c:ser>
        <c:marker val="1"/>
        <c:axId val="93738880"/>
        <c:axId val="93740416"/>
      </c:lineChart>
      <c:catAx>
        <c:axId val="93738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93740416"/>
        <c:crosses val="autoZero"/>
        <c:auto val="1"/>
        <c:lblAlgn val="ctr"/>
        <c:lblOffset val="100"/>
      </c:catAx>
      <c:valAx>
        <c:axId val="93740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9373888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8384088491422654"/>
          <c:h val="0.73889122046769906"/>
        </c:manualLayout>
      </c:layout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 </cp:lastModifiedBy>
  <cp:revision>9</cp:revision>
  <cp:lastPrinted>2014-12-09T08:22:00Z</cp:lastPrinted>
  <dcterms:created xsi:type="dcterms:W3CDTF">2014-12-08T12:13:00Z</dcterms:created>
  <dcterms:modified xsi:type="dcterms:W3CDTF">2014-12-09T08:37:00Z</dcterms:modified>
</cp:coreProperties>
</file>